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1633FCE" w:rsidR="007E1695" w:rsidRPr="00006470" w:rsidRDefault="005F5029" w:rsidP="00133E80">
            <w:pPr>
              <w:jc w:val="center"/>
              <w:rPr>
                <w:rFonts w:ascii="Times New Roman" w:hAnsi="Times New Roman" w:cs="Times New Roman"/>
                <w:b/>
                <w:sz w:val="32"/>
                <w:szCs w:val="32"/>
              </w:rPr>
            </w:pPr>
            <w:r w:rsidRPr="005F5029">
              <w:rPr>
                <w:rFonts w:ascii="Times New Roman" w:hAnsi="Times New Roman" w:cs="Times New Roman" w:hint="eastAsia"/>
                <w:b/>
                <w:sz w:val="32"/>
                <w:szCs w:val="32"/>
              </w:rPr>
              <w:t>流动性</w:t>
            </w:r>
            <w:r>
              <w:rPr>
                <w:rFonts w:ascii="Times New Roman" w:hAnsi="Times New Roman" w:cs="Times New Roman" w:hint="eastAsia"/>
                <w:b/>
                <w:sz w:val="32"/>
                <w:szCs w:val="32"/>
              </w:rPr>
              <w:t>短期扰动，</w:t>
            </w:r>
            <w:r w:rsidRPr="005F5029">
              <w:rPr>
                <w:rFonts w:ascii="Times New Roman" w:hAnsi="Times New Roman" w:cs="Times New Roman" w:hint="eastAsia"/>
                <w:b/>
                <w:sz w:val="32"/>
                <w:szCs w:val="32"/>
              </w:rPr>
              <w:t>市场高位震荡</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2803C099"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ED5F14">
        <w:rPr>
          <w:rFonts w:ascii="Times New Roman" w:eastAsia="楷体" w:hAnsi="Times New Roman" w:cs="Times New Roman" w:hint="eastAsia"/>
          <w:sz w:val="24"/>
        </w:rPr>
        <w:t>美联储继续维持利率宽松政策</w:t>
      </w:r>
    </w:p>
    <w:bookmarkEnd w:id="0"/>
    <w:p w14:paraId="3ABF81D8" w14:textId="4B873A81" w:rsidR="000D408C" w:rsidRDefault="00ED5F14" w:rsidP="009E3B0D">
      <w:pPr>
        <w:ind w:firstLineChars="200" w:firstLine="480"/>
        <w:rPr>
          <w:rFonts w:ascii="Times New Roman" w:eastAsia="楷体" w:hAnsi="Times New Roman" w:cs="Times New Roman"/>
          <w:color w:val="000000" w:themeColor="text1"/>
        </w:rPr>
      </w:pPr>
      <w:r w:rsidRPr="00ED5F14">
        <w:rPr>
          <w:rFonts w:ascii="Times New Roman" w:eastAsia="楷体" w:hAnsi="Times New Roman" w:cs="Times New Roman" w:hint="eastAsia"/>
          <w:color w:val="000000" w:themeColor="text1"/>
        </w:rPr>
        <w:t>1</w:t>
      </w:r>
      <w:r w:rsidRPr="00ED5F14">
        <w:rPr>
          <w:rFonts w:ascii="Times New Roman" w:eastAsia="楷体" w:hAnsi="Times New Roman" w:cs="Times New Roman" w:hint="eastAsia"/>
          <w:color w:val="000000" w:themeColor="text1"/>
        </w:rPr>
        <w:t>月</w:t>
      </w:r>
      <w:r w:rsidRPr="00ED5F14">
        <w:rPr>
          <w:rFonts w:ascii="Times New Roman" w:eastAsia="楷体" w:hAnsi="Times New Roman" w:cs="Times New Roman" w:hint="eastAsia"/>
          <w:color w:val="000000" w:themeColor="text1"/>
        </w:rPr>
        <w:t>27</w:t>
      </w:r>
      <w:r w:rsidRPr="00ED5F14">
        <w:rPr>
          <w:rFonts w:ascii="Times New Roman" w:eastAsia="楷体" w:hAnsi="Times New Roman" w:cs="Times New Roman" w:hint="eastAsia"/>
          <w:color w:val="000000" w:themeColor="text1"/>
        </w:rPr>
        <w:t>日，美联储宣布将维持基准利率在</w:t>
      </w:r>
      <w:r w:rsidRPr="00ED5F14">
        <w:rPr>
          <w:rFonts w:ascii="Times New Roman" w:eastAsia="楷体" w:hAnsi="Times New Roman" w:cs="Times New Roman" w:hint="eastAsia"/>
          <w:color w:val="000000" w:themeColor="text1"/>
        </w:rPr>
        <w:t>0%-0.25%</w:t>
      </w:r>
      <w:r w:rsidRPr="00ED5F14">
        <w:rPr>
          <w:rFonts w:ascii="Times New Roman" w:eastAsia="楷体" w:hAnsi="Times New Roman" w:cs="Times New Roman" w:hint="eastAsia"/>
          <w:color w:val="000000" w:themeColor="text1"/>
        </w:rPr>
        <w:t>区间，并且继续以每月</w:t>
      </w:r>
      <w:r w:rsidRPr="00ED5F14">
        <w:rPr>
          <w:rFonts w:ascii="Times New Roman" w:eastAsia="楷体" w:hAnsi="Times New Roman" w:cs="Times New Roman" w:hint="eastAsia"/>
          <w:color w:val="000000" w:themeColor="text1"/>
        </w:rPr>
        <w:t>400</w:t>
      </w:r>
      <w:r w:rsidRPr="00ED5F14">
        <w:rPr>
          <w:rFonts w:ascii="Times New Roman" w:eastAsia="楷体" w:hAnsi="Times New Roman" w:cs="Times New Roman" w:hint="eastAsia"/>
          <w:color w:val="000000" w:themeColor="text1"/>
        </w:rPr>
        <w:t>亿美元的规模增持美国国债</w:t>
      </w:r>
      <w:r>
        <w:rPr>
          <w:rFonts w:ascii="Times New Roman" w:eastAsia="楷体" w:hAnsi="Times New Roman" w:cs="Times New Roman" w:hint="eastAsia"/>
          <w:color w:val="000000" w:themeColor="text1"/>
        </w:rPr>
        <w:t>，</w:t>
      </w:r>
      <w:r w:rsidRPr="00ED5F14">
        <w:rPr>
          <w:rFonts w:ascii="Times New Roman" w:eastAsia="楷体" w:hAnsi="Times New Roman" w:cs="Times New Roman" w:hint="eastAsia"/>
          <w:color w:val="000000" w:themeColor="text1"/>
        </w:rPr>
        <w:t>保持每月</w:t>
      </w:r>
      <w:r w:rsidRPr="00ED5F14">
        <w:rPr>
          <w:rFonts w:ascii="Times New Roman" w:eastAsia="楷体" w:hAnsi="Times New Roman" w:cs="Times New Roman" w:hint="eastAsia"/>
          <w:color w:val="000000" w:themeColor="text1"/>
        </w:rPr>
        <w:t xml:space="preserve"> 1200 </w:t>
      </w:r>
      <w:r w:rsidRPr="00ED5F14">
        <w:rPr>
          <w:rFonts w:ascii="Times New Roman" w:eastAsia="楷体" w:hAnsi="Times New Roman" w:cs="Times New Roman" w:hint="eastAsia"/>
          <w:color w:val="000000" w:themeColor="text1"/>
        </w:rPr>
        <w:t>亿美元资产购买规模不变。另一方面，由于新冠疫情的影响，美联储表示美国经济</w:t>
      </w:r>
      <w:r w:rsidRPr="00ED5F14">
        <w:rPr>
          <w:rFonts w:ascii="Times New Roman" w:eastAsia="楷体" w:hAnsi="Times New Roman" w:cs="Times New Roman" w:hint="eastAsia"/>
          <w:color w:val="000000" w:themeColor="text1"/>
        </w:rPr>
        <w:t>2021</w:t>
      </w:r>
      <w:r w:rsidRPr="00ED5F14">
        <w:rPr>
          <w:rFonts w:ascii="Times New Roman" w:eastAsia="楷体" w:hAnsi="Times New Roman" w:cs="Times New Roman" w:hint="eastAsia"/>
          <w:color w:val="000000" w:themeColor="text1"/>
        </w:rPr>
        <w:t>年的复苏可能将不及预期</w:t>
      </w:r>
      <w:r w:rsidR="008D1E5A">
        <w:rPr>
          <w:rFonts w:ascii="Times New Roman" w:eastAsia="楷体" w:hAnsi="Times New Roman" w:cs="Times New Roman" w:hint="eastAsia"/>
          <w:color w:val="000000" w:themeColor="text1"/>
        </w:rPr>
        <w:t>。</w:t>
      </w:r>
    </w:p>
    <w:p w14:paraId="2DD35994" w14:textId="1FF98355" w:rsidR="00490477" w:rsidRDefault="00ED5F14" w:rsidP="0049047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美国</w:t>
      </w:r>
      <w:r>
        <w:rPr>
          <w:rFonts w:ascii="Times New Roman" w:eastAsia="楷体" w:hAnsi="Times New Roman" w:cs="Times New Roman" w:hint="eastAsia"/>
          <w:color w:val="000000" w:themeColor="text1"/>
        </w:rPr>
        <w:t>2020</w:t>
      </w:r>
      <w:r>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GDP</w:t>
      </w:r>
      <w:r>
        <w:rPr>
          <w:rFonts w:ascii="Times New Roman" w:eastAsia="楷体" w:hAnsi="Times New Roman" w:cs="Times New Roman" w:hint="eastAsia"/>
          <w:color w:val="000000" w:themeColor="text1"/>
        </w:rPr>
        <w:t>增长</w:t>
      </w:r>
      <w:r>
        <w:rPr>
          <w:rFonts w:ascii="Times New Roman" w:eastAsia="楷体" w:hAnsi="Times New Roman" w:cs="Times New Roman" w:hint="eastAsia"/>
          <w:color w:val="000000" w:themeColor="text1"/>
        </w:rPr>
        <w:t>-3.5%</w:t>
      </w:r>
      <w:r>
        <w:rPr>
          <w:rFonts w:ascii="Times New Roman" w:eastAsia="楷体" w:hAnsi="Times New Roman" w:cs="Times New Roman" w:hint="eastAsia"/>
          <w:color w:val="000000" w:themeColor="text1"/>
        </w:rPr>
        <w:t>，在疫情冲击之下美国</w:t>
      </w:r>
      <w:r>
        <w:rPr>
          <w:rFonts w:ascii="Times New Roman" w:eastAsia="楷体" w:hAnsi="Times New Roman" w:cs="Times New Roman" w:hint="eastAsia"/>
          <w:color w:val="000000" w:themeColor="text1"/>
        </w:rPr>
        <w:t>GDP</w:t>
      </w:r>
      <w:r>
        <w:rPr>
          <w:rFonts w:ascii="Times New Roman" w:eastAsia="楷体" w:hAnsi="Times New Roman" w:cs="Times New Roman" w:hint="eastAsia"/>
          <w:color w:val="000000" w:themeColor="text1"/>
        </w:rPr>
        <w:t>增速创二战以来最低记录</w:t>
      </w:r>
      <w:r w:rsidR="00490477">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在当前疫情反复，叠加变种病毒扩散的影响下，美国服务消费行业预计仍将维持相对低迷状态，在疫苗全面接种之前较难恢复。在当前情况下，美联储和美国政府大概率会继续保持宽松的货币以及财政政策。</w:t>
      </w:r>
    </w:p>
    <w:p w14:paraId="0E68F709" w14:textId="4AF1660D" w:rsidR="005F5029" w:rsidRDefault="005F5029" w:rsidP="005F5029">
      <w:pPr>
        <w:pStyle w:val="3"/>
        <w:rPr>
          <w:rFonts w:ascii="Times New Roman" w:eastAsia="楷体" w:hAnsi="Times New Roman" w:cs="Times New Roman"/>
          <w:sz w:val="24"/>
        </w:rPr>
      </w:pPr>
      <w:r w:rsidRPr="005F5029">
        <w:rPr>
          <w:rFonts w:ascii="Times New Roman" w:eastAsia="楷体" w:hAnsi="Times New Roman" w:cs="Times New Roman" w:hint="eastAsia"/>
          <w:sz w:val="24"/>
        </w:rPr>
        <w:t>1.2.</w:t>
      </w:r>
      <w:r w:rsidRPr="005F5029">
        <w:rPr>
          <w:rFonts w:ascii="Times New Roman" w:eastAsia="楷体" w:hAnsi="Times New Roman" w:cs="Times New Roman" w:hint="eastAsia"/>
          <w:sz w:val="24"/>
        </w:rPr>
        <w:t>银行点评与展望</w:t>
      </w:r>
    </w:p>
    <w:p w14:paraId="604F5BD7" w14:textId="2E54B4BE" w:rsidR="005F5029" w:rsidRDefault="005F5029" w:rsidP="005F5029">
      <w:pPr>
        <w:ind w:firstLine="420"/>
        <w:jc w:val="left"/>
        <w:rPr>
          <w:rFonts w:ascii="Times New Roman" w:eastAsia="楷体" w:hAnsi="Times New Roman" w:cs="Times New Roman"/>
          <w:color w:val="000000" w:themeColor="text1"/>
        </w:rPr>
      </w:pPr>
      <w:r w:rsidRPr="005F5029">
        <w:rPr>
          <w:rFonts w:ascii="Times New Roman" w:eastAsia="楷体" w:hAnsi="Times New Roman" w:cs="Times New Roman" w:hint="eastAsia"/>
          <w:color w:val="000000" w:themeColor="text1"/>
        </w:rPr>
        <w:t>自年初至今，</w:t>
      </w:r>
      <w:proofErr w:type="gramStart"/>
      <w:r w:rsidRPr="005F5029">
        <w:rPr>
          <w:rFonts w:ascii="Times New Roman" w:eastAsia="楷体" w:hAnsi="Times New Roman" w:cs="Times New Roman" w:hint="eastAsia"/>
          <w:color w:val="000000" w:themeColor="text1"/>
        </w:rPr>
        <w:t>申万银行行业涨幅</w:t>
      </w:r>
      <w:proofErr w:type="gramEnd"/>
      <w:r w:rsidRPr="005F5029">
        <w:rPr>
          <w:rFonts w:ascii="Times New Roman" w:eastAsia="楷体" w:hAnsi="Times New Roman" w:cs="Times New Roman" w:hint="eastAsia"/>
          <w:color w:val="000000" w:themeColor="text1"/>
        </w:rPr>
        <w:t>6.51%</w:t>
      </w:r>
      <w:r w:rsidRPr="005F5029">
        <w:rPr>
          <w:rFonts w:ascii="Times New Roman" w:eastAsia="楷体" w:hAnsi="Times New Roman" w:cs="Times New Roman" w:hint="eastAsia"/>
          <w:color w:val="000000" w:themeColor="text1"/>
        </w:rPr>
        <w:t>，同期沪深</w:t>
      </w:r>
      <w:r w:rsidRPr="005F5029">
        <w:rPr>
          <w:rFonts w:ascii="Times New Roman" w:eastAsia="楷体" w:hAnsi="Times New Roman" w:cs="Times New Roman" w:hint="eastAsia"/>
          <w:color w:val="000000" w:themeColor="text1"/>
        </w:rPr>
        <w:t>300</w:t>
      </w:r>
      <w:r w:rsidRPr="005F5029">
        <w:rPr>
          <w:rFonts w:ascii="Times New Roman" w:eastAsia="楷体" w:hAnsi="Times New Roman" w:cs="Times New Roman" w:hint="eastAsia"/>
          <w:color w:val="000000" w:themeColor="text1"/>
        </w:rPr>
        <w:t>涨幅</w:t>
      </w:r>
      <w:r w:rsidRPr="005F5029">
        <w:rPr>
          <w:rFonts w:ascii="Times New Roman" w:eastAsia="楷体" w:hAnsi="Times New Roman" w:cs="Times New Roman" w:hint="eastAsia"/>
          <w:color w:val="000000" w:themeColor="text1"/>
        </w:rPr>
        <w:t>2.7%</w:t>
      </w:r>
      <w:r w:rsidRPr="005F5029">
        <w:rPr>
          <w:rFonts w:ascii="Times New Roman" w:eastAsia="楷体" w:hAnsi="Times New Roman" w:cs="Times New Roman" w:hint="eastAsia"/>
          <w:color w:val="000000" w:themeColor="text1"/>
        </w:rPr>
        <w:t>，超额收益</w:t>
      </w:r>
      <w:r w:rsidRPr="005F5029">
        <w:rPr>
          <w:rFonts w:ascii="Times New Roman" w:eastAsia="楷体" w:hAnsi="Times New Roman" w:cs="Times New Roman" w:hint="eastAsia"/>
          <w:color w:val="000000" w:themeColor="text1"/>
        </w:rPr>
        <w:t>3.81%</w:t>
      </w:r>
      <w:r w:rsidRPr="005F5029">
        <w:rPr>
          <w:rFonts w:ascii="Times New Roman" w:eastAsia="楷体" w:hAnsi="Times New Roman" w:cs="Times New Roman" w:hint="eastAsia"/>
          <w:color w:val="000000" w:themeColor="text1"/>
        </w:rPr>
        <w:t>。目前全行业已有</w:t>
      </w:r>
      <w:r w:rsidRPr="005F5029">
        <w:rPr>
          <w:rFonts w:ascii="Times New Roman" w:eastAsia="楷体" w:hAnsi="Times New Roman" w:cs="Times New Roman" w:hint="eastAsia"/>
          <w:color w:val="000000" w:themeColor="text1"/>
        </w:rPr>
        <w:t>17</w:t>
      </w:r>
      <w:r w:rsidRPr="005F5029">
        <w:rPr>
          <w:rFonts w:ascii="Times New Roman" w:eastAsia="楷体" w:hAnsi="Times New Roman" w:cs="Times New Roman" w:hint="eastAsia"/>
          <w:color w:val="000000" w:themeColor="text1"/>
        </w:rPr>
        <w:t>家公司发布</w:t>
      </w:r>
      <w:r w:rsidRPr="005F5029">
        <w:rPr>
          <w:rFonts w:ascii="Times New Roman" w:eastAsia="楷体" w:hAnsi="Times New Roman" w:cs="Times New Roman" w:hint="eastAsia"/>
          <w:color w:val="000000" w:themeColor="text1"/>
        </w:rPr>
        <w:t>2020</w:t>
      </w:r>
      <w:r w:rsidRPr="005F5029">
        <w:rPr>
          <w:rFonts w:ascii="Times New Roman" w:eastAsia="楷体" w:hAnsi="Times New Roman" w:cs="Times New Roman" w:hint="eastAsia"/>
          <w:color w:val="000000" w:themeColor="text1"/>
        </w:rPr>
        <w:t>年业绩快报</w:t>
      </w:r>
      <w:r w:rsidRPr="005F5029">
        <w:rPr>
          <w:rFonts w:ascii="Times New Roman" w:eastAsia="楷体" w:hAnsi="Times New Roman" w:cs="Times New Roman"/>
          <w:color w:val="000000" w:themeColor="text1"/>
        </w:rPr>
        <w:t>，其中大部分银行全年营</w:t>
      </w:r>
      <w:proofErr w:type="gramStart"/>
      <w:r w:rsidRPr="005F5029">
        <w:rPr>
          <w:rFonts w:ascii="Times New Roman" w:eastAsia="楷体" w:hAnsi="Times New Roman" w:cs="Times New Roman"/>
          <w:color w:val="000000" w:themeColor="text1"/>
        </w:rPr>
        <w:t>收以及归母净</w:t>
      </w:r>
      <w:proofErr w:type="gramEnd"/>
      <w:r w:rsidRPr="005F5029">
        <w:rPr>
          <w:rFonts w:ascii="Times New Roman" w:eastAsia="楷体" w:hAnsi="Times New Roman" w:cs="Times New Roman"/>
          <w:color w:val="000000" w:themeColor="text1"/>
        </w:rPr>
        <w:t>利润均实现</w:t>
      </w:r>
      <w:proofErr w:type="gramStart"/>
      <w:r w:rsidRPr="005F5029">
        <w:rPr>
          <w:rFonts w:ascii="Times New Roman" w:eastAsia="楷体" w:hAnsi="Times New Roman" w:cs="Times New Roman"/>
          <w:color w:val="000000" w:themeColor="text1"/>
        </w:rPr>
        <w:t>同比正</w:t>
      </w:r>
      <w:proofErr w:type="gramEnd"/>
      <w:r w:rsidRPr="005F5029">
        <w:rPr>
          <w:rFonts w:ascii="Times New Roman" w:eastAsia="楷体" w:hAnsi="Times New Roman" w:cs="Times New Roman"/>
          <w:color w:val="000000" w:themeColor="text1"/>
        </w:rPr>
        <w:t>增长，资产质量情况逐步改善。</w:t>
      </w:r>
      <w:r w:rsidRPr="005F5029">
        <w:rPr>
          <w:rFonts w:ascii="Times New Roman" w:eastAsia="楷体" w:hAnsi="Times New Roman" w:cs="Times New Roman"/>
          <w:color w:val="000000" w:themeColor="text1"/>
        </w:rPr>
        <w:t>20</w:t>
      </w:r>
      <w:r w:rsidR="00AE6105">
        <w:rPr>
          <w:rFonts w:ascii="Times New Roman" w:eastAsia="楷体" w:hAnsi="Times New Roman" w:cs="Times New Roman" w:hint="eastAsia"/>
          <w:color w:val="000000" w:themeColor="text1"/>
        </w:rPr>
        <w:t>20</w:t>
      </w:r>
      <w:r w:rsidRPr="005F5029">
        <w:rPr>
          <w:rFonts w:ascii="Times New Roman" w:eastAsia="楷体" w:hAnsi="Times New Roman" w:cs="Times New Roman"/>
          <w:color w:val="000000" w:themeColor="text1"/>
        </w:rPr>
        <w:t>年四季度银行盈利能力改善明显，股份</w:t>
      </w:r>
      <w:proofErr w:type="gramStart"/>
      <w:r w:rsidRPr="005F5029">
        <w:rPr>
          <w:rFonts w:ascii="Times New Roman" w:eastAsia="楷体" w:hAnsi="Times New Roman" w:cs="Times New Roman"/>
          <w:color w:val="000000" w:themeColor="text1"/>
        </w:rPr>
        <w:t>行业绩</w:t>
      </w:r>
      <w:proofErr w:type="gramEnd"/>
      <w:r w:rsidRPr="005F5029">
        <w:rPr>
          <w:rFonts w:ascii="Times New Roman" w:eastAsia="楷体" w:hAnsi="Times New Roman" w:cs="Times New Roman"/>
          <w:color w:val="000000" w:themeColor="text1"/>
        </w:rPr>
        <w:t>表现较为亮眼较三季度提升显著，带动全年</w:t>
      </w:r>
      <w:proofErr w:type="gramStart"/>
      <w:r w:rsidRPr="005F5029">
        <w:rPr>
          <w:rFonts w:ascii="Times New Roman" w:eastAsia="楷体" w:hAnsi="Times New Roman" w:cs="Times New Roman"/>
          <w:color w:val="000000" w:themeColor="text1"/>
        </w:rPr>
        <w:t>归母净利润</w:t>
      </w:r>
      <w:proofErr w:type="gramEnd"/>
      <w:r w:rsidRPr="005F5029">
        <w:rPr>
          <w:rFonts w:ascii="Times New Roman" w:eastAsia="楷体" w:hAnsi="Times New Roman" w:cs="Times New Roman"/>
          <w:color w:val="000000" w:themeColor="text1"/>
        </w:rPr>
        <w:t>增速基本实现由负转正。银行业绩回暖趋势明显，有助于修复之前市场对于银行股的悲观预期，银行板块近一个月涨幅居于前列</w:t>
      </w:r>
      <w:r>
        <w:rPr>
          <w:rFonts w:ascii="Times New Roman" w:eastAsia="楷体" w:hAnsi="Times New Roman" w:cs="Times New Roman" w:hint="eastAsia"/>
          <w:color w:val="000000" w:themeColor="text1"/>
        </w:rPr>
        <w:t>。</w:t>
      </w:r>
    </w:p>
    <w:p w14:paraId="3B352CBF" w14:textId="5C882DAA" w:rsidR="005F5029" w:rsidRPr="005F5029" w:rsidRDefault="005F5029" w:rsidP="005F5029">
      <w:pPr>
        <w:ind w:firstLine="420"/>
        <w:jc w:val="left"/>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后续各环节展望如下：</w:t>
      </w:r>
    </w:p>
    <w:p w14:paraId="6B18579F" w14:textId="3AA9D5AE" w:rsidR="005F5029" w:rsidRPr="005F5029" w:rsidRDefault="005F5029" w:rsidP="005F5029">
      <w:pPr>
        <w:ind w:firstLine="420"/>
        <w:jc w:val="left"/>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1</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资产端</w:t>
      </w:r>
    </w:p>
    <w:p w14:paraId="1FE65BC9" w14:textId="77777777" w:rsidR="005F5029" w:rsidRPr="005F5029" w:rsidRDefault="005F5029" w:rsidP="005F5029">
      <w:pPr>
        <w:ind w:firstLine="420"/>
        <w:jc w:val="left"/>
        <w:rPr>
          <w:rFonts w:ascii="Times New Roman" w:eastAsia="楷体" w:hAnsi="Times New Roman" w:cs="Times New Roman"/>
          <w:color w:val="000000" w:themeColor="text1"/>
        </w:rPr>
      </w:pPr>
      <w:r w:rsidRPr="005F5029">
        <w:rPr>
          <w:rFonts w:ascii="Times New Roman" w:eastAsia="楷体" w:hAnsi="Times New Roman" w:cs="Times New Roman"/>
          <w:color w:val="000000" w:themeColor="text1"/>
        </w:rPr>
        <w:t>预计</w:t>
      </w:r>
      <w:r w:rsidRPr="005F5029">
        <w:rPr>
          <w:rFonts w:ascii="Times New Roman" w:eastAsia="楷体" w:hAnsi="Times New Roman" w:cs="Times New Roman"/>
          <w:color w:val="000000" w:themeColor="text1"/>
        </w:rPr>
        <w:t>2021</w:t>
      </w:r>
      <w:r w:rsidRPr="005F5029">
        <w:rPr>
          <w:rFonts w:ascii="Times New Roman" w:eastAsia="楷体" w:hAnsi="Times New Roman" w:cs="Times New Roman"/>
          <w:color w:val="000000" w:themeColor="text1"/>
        </w:rPr>
        <w:t>年信贷投放积极，资产增速回归常态。资产增长以稳为主，回归常态速度。</w:t>
      </w:r>
      <w:r w:rsidRPr="005F5029">
        <w:rPr>
          <w:rFonts w:ascii="Times New Roman" w:eastAsia="楷体" w:hAnsi="Times New Roman" w:cs="Times New Roman" w:hint="eastAsia"/>
          <w:color w:val="000000" w:themeColor="text1"/>
        </w:rPr>
        <w:t>在</w:t>
      </w:r>
      <w:r w:rsidRPr="005F5029">
        <w:rPr>
          <w:rFonts w:ascii="Times New Roman" w:eastAsia="楷体" w:hAnsi="Times New Roman" w:cs="Times New Roman"/>
          <w:color w:val="000000" w:themeColor="text1"/>
        </w:rPr>
        <w:t>宏观政策以稳为主导向下，政府融资回归</w:t>
      </w:r>
      <w:r w:rsidRPr="005F5029">
        <w:rPr>
          <w:rFonts w:ascii="Times New Roman" w:eastAsia="楷体" w:hAnsi="Times New Roman" w:cs="Times New Roman"/>
          <w:color w:val="000000" w:themeColor="text1"/>
        </w:rPr>
        <w:t>2019</w:t>
      </w:r>
      <w:r w:rsidRPr="005F5029">
        <w:rPr>
          <w:rFonts w:ascii="Times New Roman" w:eastAsia="楷体" w:hAnsi="Times New Roman" w:cs="Times New Roman"/>
          <w:color w:val="000000" w:themeColor="text1"/>
        </w:rPr>
        <w:t>年以前常态，非标融资满足</w:t>
      </w:r>
      <w:proofErr w:type="gramStart"/>
      <w:r w:rsidRPr="005F5029">
        <w:rPr>
          <w:rFonts w:ascii="Times New Roman" w:eastAsia="楷体" w:hAnsi="Times New Roman" w:cs="Times New Roman"/>
          <w:color w:val="000000" w:themeColor="text1"/>
        </w:rPr>
        <w:t>资管新规</w:t>
      </w:r>
      <w:proofErr w:type="gramEnd"/>
      <w:r w:rsidRPr="005F5029">
        <w:rPr>
          <w:rFonts w:ascii="Times New Roman" w:eastAsia="楷体" w:hAnsi="Times New Roman" w:cs="Times New Roman"/>
          <w:color w:val="000000" w:themeColor="text1"/>
        </w:rPr>
        <w:t>要求，预计</w:t>
      </w:r>
      <w:r w:rsidRPr="005F5029">
        <w:rPr>
          <w:rFonts w:ascii="Times New Roman" w:eastAsia="楷体" w:hAnsi="Times New Roman" w:cs="Times New Roman"/>
          <w:color w:val="000000" w:themeColor="text1"/>
        </w:rPr>
        <w:t>2021</w:t>
      </w:r>
      <w:r w:rsidRPr="005F5029">
        <w:rPr>
          <w:rFonts w:ascii="Times New Roman" w:eastAsia="楷体" w:hAnsi="Times New Roman" w:cs="Times New Roman"/>
          <w:color w:val="000000" w:themeColor="text1"/>
        </w:rPr>
        <w:t>年各家银行资产增速将较</w:t>
      </w:r>
      <w:r w:rsidRPr="005F5029">
        <w:rPr>
          <w:rFonts w:ascii="Times New Roman" w:eastAsia="楷体" w:hAnsi="Times New Roman" w:cs="Times New Roman"/>
          <w:color w:val="000000" w:themeColor="text1"/>
        </w:rPr>
        <w:t>2020</w:t>
      </w:r>
      <w:r w:rsidRPr="005F5029">
        <w:rPr>
          <w:rFonts w:ascii="Times New Roman" w:eastAsia="楷体" w:hAnsi="Times New Roman" w:cs="Times New Roman"/>
          <w:color w:val="000000" w:themeColor="text1"/>
        </w:rPr>
        <w:t>年水平保持稳定或有所下降。</w:t>
      </w:r>
    </w:p>
    <w:p w14:paraId="635BEC95" w14:textId="77777777" w:rsidR="005F5029" w:rsidRPr="005F5029" w:rsidRDefault="005F5029" w:rsidP="005F5029">
      <w:pPr>
        <w:ind w:firstLine="420"/>
        <w:jc w:val="left"/>
        <w:rPr>
          <w:rFonts w:ascii="Times New Roman" w:eastAsia="楷体" w:hAnsi="Times New Roman" w:cs="Times New Roman"/>
          <w:color w:val="000000" w:themeColor="text1"/>
        </w:rPr>
      </w:pPr>
      <w:r w:rsidRPr="005F5029">
        <w:rPr>
          <w:rFonts w:ascii="Times New Roman" w:eastAsia="楷体" w:hAnsi="Times New Roman" w:cs="Times New Roman"/>
          <w:color w:val="000000" w:themeColor="text1"/>
        </w:rPr>
        <w:t>信贷需求向好，全年增速乐观。在宏观经济修复环境下，企业需求稳中有增，银行业信贷资源储备丰富，预计</w:t>
      </w:r>
      <w:r w:rsidRPr="005F5029">
        <w:rPr>
          <w:rFonts w:ascii="Times New Roman" w:eastAsia="楷体" w:hAnsi="Times New Roman" w:cs="Times New Roman"/>
          <w:color w:val="000000" w:themeColor="text1"/>
        </w:rPr>
        <w:t>2021</w:t>
      </w:r>
      <w:r w:rsidRPr="005F5029">
        <w:rPr>
          <w:rFonts w:ascii="Times New Roman" w:eastAsia="楷体" w:hAnsi="Times New Roman" w:cs="Times New Roman"/>
          <w:color w:val="000000" w:themeColor="text1"/>
        </w:rPr>
        <w:t>年全年增量及增速保持稳定</w:t>
      </w:r>
      <w:r w:rsidRPr="005F5029">
        <w:rPr>
          <w:rFonts w:ascii="Times New Roman" w:eastAsia="楷体" w:hAnsi="Times New Roman" w:cs="Times New Roman" w:hint="eastAsia"/>
          <w:color w:val="000000" w:themeColor="text1"/>
        </w:rPr>
        <w:t>。</w:t>
      </w:r>
    </w:p>
    <w:p w14:paraId="589003AB" w14:textId="66AAEE40" w:rsidR="005F5029" w:rsidRPr="005F5029" w:rsidRDefault="005F5029" w:rsidP="005F5029">
      <w:pPr>
        <w:ind w:firstLine="420"/>
        <w:jc w:val="left"/>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2</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信贷投放</w:t>
      </w:r>
    </w:p>
    <w:p w14:paraId="27E99469" w14:textId="02A6A269" w:rsidR="005F5029" w:rsidRPr="005F5029" w:rsidRDefault="005F5029" w:rsidP="005F5029">
      <w:pPr>
        <w:ind w:firstLine="420"/>
        <w:jc w:val="left"/>
        <w:rPr>
          <w:rFonts w:ascii="Times New Roman" w:eastAsia="楷体" w:hAnsi="Times New Roman" w:cs="Times New Roman"/>
          <w:color w:val="000000" w:themeColor="text1"/>
        </w:rPr>
      </w:pPr>
      <w:r w:rsidRPr="005F5029">
        <w:rPr>
          <w:rFonts w:ascii="Times New Roman" w:eastAsia="楷体" w:hAnsi="Times New Roman" w:cs="Times New Roman"/>
          <w:color w:val="000000" w:themeColor="text1"/>
        </w:rPr>
        <w:t>供需乐观，投放节奏稳健。年初以来信贷供需两旺，年初以来信贷投放积极，信贷需求比较旺盛，银行供给额度充足。零售</w:t>
      </w:r>
      <w:proofErr w:type="gramStart"/>
      <w:r w:rsidRPr="005F5029">
        <w:rPr>
          <w:rFonts w:ascii="Times New Roman" w:eastAsia="楷体" w:hAnsi="Times New Roman" w:cs="Times New Roman"/>
          <w:color w:val="000000" w:themeColor="text1"/>
        </w:rPr>
        <w:t>端发展</w:t>
      </w:r>
      <w:proofErr w:type="gramEnd"/>
      <w:r w:rsidRPr="005F5029">
        <w:rPr>
          <w:rFonts w:ascii="Times New Roman" w:eastAsia="楷体" w:hAnsi="Times New Roman" w:cs="Times New Roman"/>
          <w:color w:val="000000" w:themeColor="text1"/>
        </w:rPr>
        <w:t>非按揭品种，对公投向重点区域的重点行业。零售端在房地产</w:t>
      </w:r>
      <w:r w:rsidRPr="005F5029">
        <w:rPr>
          <w:rFonts w:ascii="Times New Roman" w:eastAsia="楷体" w:hAnsi="Times New Roman" w:cs="Times New Roman"/>
          <w:color w:val="000000" w:themeColor="text1"/>
        </w:rPr>
        <w:lastRenderedPageBreak/>
        <w:t>贷款集中</w:t>
      </w:r>
      <w:proofErr w:type="gramStart"/>
      <w:r w:rsidRPr="005F5029">
        <w:rPr>
          <w:rFonts w:ascii="Times New Roman" w:eastAsia="楷体" w:hAnsi="Times New Roman" w:cs="Times New Roman"/>
          <w:color w:val="000000" w:themeColor="text1"/>
        </w:rPr>
        <w:t>度管理</w:t>
      </w:r>
      <w:proofErr w:type="gramEnd"/>
      <w:r w:rsidRPr="005F5029">
        <w:rPr>
          <w:rFonts w:ascii="Times New Roman" w:eastAsia="楷体" w:hAnsi="Times New Roman" w:cs="Times New Roman"/>
          <w:color w:val="000000" w:themeColor="text1"/>
        </w:rPr>
        <w:t>下，非按揭品种投放增加。随着居民收入恢复，个人信贷投放保持积极，预计</w:t>
      </w:r>
      <w:r w:rsidRPr="005F5029">
        <w:rPr>
          <w:rFonts w:ascii="Times New Roman" w:eastAsia="楷体" w:hAnsi="Times New Roman" w:cs="Times New Roman"/>
          <w:color w:val="000000" w:themeColor="text1"/>
        </w:rPr>
        <w:t>2-3</w:t>
      </w:r>
      <w:r w:rsidRPr="005F5029">
        <w:rPr>
          <w:rFonts w:ascii="Times New Roman" w:eastAsia="楷体" w:hAnsi="Times New Roman" w:cs="Times New Roman"/>
          <w:color w:val="000000" w:themeColor="text1"/>
        </w:rPr>
        <w:t>月将延续前期积极投放节奏。贷款结构多元化：受房地产贷款集中</w:t>
      </w:r>
      <w:proofErr w:type="gramStart"/>
      <w:r w:rsidRPr="005F5029">
        <w:rPr>
          <w:rFonts w:ascii="Times New Roman" w:eastAsia="楷体" w:hAnsi="Times New Roman" w:cs="Times New Roman"/>
          <w:color w:val="000000" w:themeColor="text1"/>
        </w:rPr>
        <w:t>度管理</w:t>
      </w:r>
      <w:proofErr w:type="gramEnd"/>
      <w:r w:rsidRPr="005F5029">
        <w:rPr>
          <w:rFonts w:ascii="Times New Roman" w:eastAsia="楷体" w:hAnsi="Times New Roman" w:cs="Times New Roman"/>
          <w:color w:val="000000" w:themeColor="text1"/>
        </w:rPr>
        <w:t>影响，预计银行业将控制按揭投放，并加大经营贷、消费贷、信用卡等业务的发展力度，实现零售贷款的多元化发展。对公</w:t>
      </w:r>
      <w:proofErr w:type="gramStart"/>
      <w:r w:rsidRPr="005F5029">
        <w:rPr>
          <w:rFonts w:ascii="Times New Roman" w:eastAsia="楷体" w:hAnsi="Times New Roman" w:cs="Times New Roman"/>
          <w:color w:val="000000" w:themeColor="text1"/>
        </w:rPr>
        <w:t>端项目</w:t>
      </w:r>
      <w:proofErr w:type="gramEnd"/>
      <w:r w:rsidRPr="005F5029">
        <w:rPr>
          <w:rFonts w:ascii="Times New Roman" w:eastAsia="楷体" w:hAnsi="Times New Roman" w:cs="Times New Roman"/>
          <w:color w:val="000000" w:themeColor="text1"/>
        </w:rPr>
        <w:t>储备丰富，继续支持重点领域发展。目前企业信贷需求稳定，对公信贷保持较快投放，预计后续节奏将保持稳定。投放区域及行业与政策导向一致</w:t>
      </w:r>
      <w:r w:rsidRPr="005F5029">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银行继续加大对重点区域，包括粤港澳、京津冀、长三角及成渝等地区的支持，同时围绕</w:t>
      </w:r>
      <w:r w:rsidRPr="005F5029">
        <w:rPr>
          <w:rFonts w:ascii="Times New Roman" w:eastAsia="楷体" w:hAnsi="Times New Roman" w:cs="Times New Roman"/>
          <w:color w:val="000000" w:themeColor="text1"/>
        </w:rPr>
        <w:t>“</w:t>
      </w:r>
      <w:r w:rsidRPr="005F5029">
        <w:rPr>
          <w:rFonts w:ascii="Times New Roman" w:eastAsia="楷体" w:hAnsi="Times New Roman" w:cs="Times New Roman"/>
          <w:color w:val="000000" w:themeColor="text1"/>
        </w:rPr>
        <w:t>两新一重</w:t>
      </w:r>
      <w:r w:rsidRPr="005F5029">
        <w:rPr>
          <w:rFonts w:ascii="Times New Roman" w:eastAsia="楷体" w:hAnsi="Times New Roman" w:cs="Times New Roman"/>
          <w:color w:val="000000" w:themeColor="text1"/>
        </w:rPr>
        <w:t>”</w:t>
      </w:r>
      <w:r w:rsidRPr="005F5029">
        <w:rPr>
          <w:rFonts w:ascii="Times New Roman" w:eastAsia="楷体" w:hAnsi="Times New Roman" w:cs="Times New Roman"/>
          <w:color w:val="000000" w:themeColor="text1"/>
        </w:rPr>
        <w:t>等重点行业的企业开展金融支持，并继续加大普惠小</w:t>
      </w:r>
      <w:proofErr w:type="gramStart"/>
      <w:r w:rsidRPr="005F5029">
        <w:rPr>
          <w:rFonts w:ascii="Times New Roman" w:eastAsia="楷体" w:hAnsi="Times New Roman" w:cs="Times New Roman"/>
          <w:color w:val="000000" w:themeColor="text1"/>
        </w:rPr>
        <w:t>微贷款</w:t>
      </w:r>
      <w:proofErr w:type="gramEnd"/>
      <w:r w:rsidRPr="005F5029">
        <w:rPr>
          <w:rFonts w:ascii="Times New Roman" w:eastAsia="楷体" w:hAnsi="Times New Roman" w:cs="Times New Roman"/>
          <w:color w:val="000000" w:themeColor="text1"/>
        </w:rPr>
        <w:t>投放力度。</w:t>
      </w:r>
      <w:proofErr w:type="gramStart"/>
      <w:r w:rsidRPr="005F5029">
        <w:rPr>
          <w:rFonts w:ascii="Times New Roman" w:eastAsia="楷体" w:hAnsi="Times New Roman" w:cs="Times New Roman"/>
          <w:color w:val="000000" w:themeColor="text1"/>
        </w:rPr>
        <w:t>涉房开发贷保持</w:t>
      </w:r>
      <w:proofErr w:type="gramEnd"/>
      <w:r w:rsidRPr="005F5029">
        <w:rPr>
          <w:rFonts w:ascii="Times New Roman" w:eastAsia="楷体" w:hAnsi="Times New Roman" w:cs="Times New Roman"/>
          <w:color w:val="000000" w:themeColor="text1"/>
        </w:rPr>
        <w:t>平稳</w:t>
      </w:r>
      <w:r w:rsidRPr="005F5029">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目前大部分银行除按揭外的房地产开发贷占比符合监管要求，预计后续投放节奏将保持稳定</w:t>
      </w:r>
      <w:r w:rsidR="00AE6105">
        <w:rPr>
          <w:rFonts w:ascii="Times New Roman" w:eastAsia="楷体" w:hAnsi="Times New Roman" w:cs="Times New Roman" w:hint="eastAsia"/>
          <w:color w:val="000000" w:themeColor="text1"/>
        </w:rPr>
        <w:t>。</w:t>
      </w:r>
    </w:p>
    <w:p w14:paraId="46EF3917" w14:textId="6B4B1677" w:rsidR="005F5029" w:rsidRPr="005F5029" w:rsidRDefault="005F5029" w:rsidP="005F5029">
      <w:pPr>
        <w:ind w:firstLine="420"/>
        <w:jc w:val="left"/>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3</w:t>
      </w:r>
      <w:r>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负债</w:t>
      </w:r>
      <w:r>
        <w:rPr>
          <w:rFonts w:ascii="Times New Roman" w:eastAsia="楷体" w:hAnsi="Times New Roman" w:cs="Times New Roman"/>
          <w:color w:val="000000" w:themeColor="text1"/>
        </w:rPr>
        <w:t>端</w:t>
      </w:r>
    </w:p>
    <w:p w14:paraId="3175A9BC" w14:textId="4764967E" w:rsidR="005F5029" w:rsidRPr="005F5029" w:rsidRDefault="005F5029" w:rsidP="005F5029">
      <w:pPr>
        <w:ind w:firstLine="420"/>
        <w:jc w:val="left"/>
        <w:rPr>
          <w:rFonts w:ascii="Times New Roman" w:eastAsia="楷体" w:hAnsi="Times New Roman" w:cs="Times New Roman"/>
          <w:color w:val="000000" w:themeColor="text1"/>
        </w:rPr>
      </w:pPr>
      <w:r w:rsidRPr="005F5029">
        <w:rPr>
          <w:rFonts w:ascii="Times New Roman" w:eastAsia="楷体" w:hAnsi="Times New Roman" w:cs="Times New Roman"/>
          <w:color w:val="000000" w:themeColor="text1"/>
        </w:rPr>
        <w:t>前期监管持续压降结构性存款等高成本存款，引导存款市场竞争从成本竞争向经营能力竞争的转变。预计</w:t>
      </w:r>
      <w:r w:rsidRPr="005F5029">
        <w:rPr>
          <w:rFonts w:ascii="Times New Roman" w:eastAsia="楷体" w:hAnsi="Times New Roman" w:cs="Times New Roman"/>
          <w:color w:val="000000" w:themeColor="text1"/>
        </w:rPr>
        <w:t>2021</w:t>
      </w:r>
      <w:r w:rsidRPr="005F5029">
        <w:rPr>
          <w:rFonts w:ascii="Times New Roman" w:eastAsia="楷体" w:hAnsi="Times New Roman" w:cs="Times New Roman"/>
          <w:color w:val="000000" w:themeColor="text1"/>
        </w:rPr>
        <w:t>年银行业负债</w:t>
      </w:r>
      <w:proofErr w:type="gramStart"/>
      <w:r w:rsidRPr="005F5029">
        <w:rPr>
          <w:rFonts w:ascii="Times New Roman" w:eastAsia="楷体" w:hAnsi="Times New Roman" w:cs="Times New Roman"/>
          <w:color w:val="000000" w:themeColor="text1"/>
        </w:rPr>
        <w:t>端降成本仍为主</w:t>
      </w:r>
      <w:proofErr w:type="gramEnd"/>
      <w:r w:rsidRPr="005F5029">
        <w:rPr>
          <w:rFonts w:ascii="Times New Roman" w:eastAsia="楷体" w:hAnsi="Times New Roman" w:cs="Times New Roman"/>
          <w:color w:val="000000" w:themeColor="text1"/>
        </w:rPr>
        <w:t>基调</w:t>
      </w:r>
      <w:r w:rsidRPr="005F5029">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具体来看</w:t>
      </w:r>
      <w:r w:rsidRPr="005F5029">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银行倾向于压降结构性存款、协议存款等高成本存款比重，侧重增强核心存款吸收能力，以吸收低成本的储蓄存款，实现存款成本节约。渠道资源丰富、客户经营能力强的银行有望实现较快增长。</w:t>
      </w:r>
    </w:p>
    <w:p w14:paraId="09FD5483" w14:textId="7703E3E7" w:rsidR="005F5029" w:rsidRPr="005F5029" w:rsidRDefault="005F5029" w:rsidP="005F5029">
      <w:pPr>
        <w:ind w:firstLine="420"/>
        <w:jc w:val="left"/>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4</w:t>
      </w:r>
      <w:r>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息差走势</w:t>
      </w:r>
    </w:p>
    <w:p w14:paraId="4CF29760" w14:textId="4DB15143" w:rsidR="005F5029" w:rsidRPr="005F5029" w:rsidRDefault="005F5029" w:rsidP="005F5029">
      <w:pPr>
        <w:ind w:firstLine="420"/>
        <w:jc w:val="left"/>
        <w:rPr>
          <w:rFonts w:ascii="Times New Roman" w:eastAsia="楷体" w:hAnsi="Times New Roman" w:cs="Times New Roman"/>
          <w:color w:val="000000" w:themeColor="text1"/>
        </w:rPr>
      </w:pPr>
      <w:r w:rsidRPr="005F5029">
        <w:rPr>
          <w:rFonts w:ascii="Times New Roman" w:eastAsia="楷体" w:hAnsi="Times New Roman" w:cs="Times New Roman"/>
          <w:color w:val="000000" w:themeColor="text1"/>
        </w:rPr>
        <w:t>预计一季度</w:t>
      </w:r>
      <w:proofErr w:type="gramStart"/>
      <w:r w:rsidRPr="005F5029">
        <w:rPr>
          <w:rFonts w:ascii="Times New Roman" w:eastAsia="楷体" w:hAnsi="Times New Roman" w:cs="Times New Roman"/>
          <w:color w:val="000000" w:themeColor="text1"/>
        </w:rPr>
        <w:t>贷款重</w:t>
      </w:r>
      <w:proofErr w:type="gramEnd"/>
      <w:r w:rsidRPr="005F5029">
        <w:rPr>
          <w:rFonts w:ascii="Times New Roman" w:eastAsia="楷体" w:hAnsi="Times New Roman" w:cs="Times New Roman"/>
          <w:color w:val="000000" w:themeColor="text1"/>
        </w:rPr>
        <w:t>定价冲击有限，全年息差将边际改善。</w:t>
      </w:r>
      <w:r w:rsidRPr="005F5029">
        <w:rPr>
          <w:rFonts w:ascii="Times New Roman" w:eastAsia="楷体" w:hAnsi="Times New Roman" w:cs="Times New Roman"/>
          <w:color w:val="000000" w:themeColor="text1"/>
        </w:rPr>
        <w:t>2020</w:t>
      </w:r>
      <w:r w:rsidRPr="005F5029">
        <w:rPr>
          <w:rFonts w:ascii="Times New Roman" w:eastAsia="楷体" w:hAnsi="Times New Roman" w:cs="Times New Roman"/>
          <w:color w:val="000000" w:themeColor="text1"/>
        </w:rPr>
        <w:t>年三季度以来新发放贷款利率有所回升，四季度至</w:t>
      </w:r>
      <w:r w:rsidRPr="005F5029">
        <w:rPr>
          <w:rFonts w:ascii="Times New Roman" w:eastAsia="楷体" w:hAnsi="Times New Roman" w:cs="Times New Roman"/>
          <w:color w:val="000000" w:themeColor="text1"/>
        </w:rPr>
        <w:t>2021</w:t>
      </w:r>
      <w:r w:rsidRPr="005F5029">
        <w:rPr>
          <w:rFonts w:ascii="Times New Roman" w:eastAsia="楷体" w:hAnsi="Times New Roman" w:cs="Times New Roman"/>
          <w:color w:val="000000" w:themeColor="text1"/>
        </w:rPr>
        <w:t>年一季度信贷需求旺盛，预计</w:t>
      </w:r>
      <w:r w:rsidRPr="005F5029">
        <w:rPr>
          <w:rFonts w:ascii="Times New Roman" w:eastAsia="楷体" w:hAnsi="Times New Roman" w:cs="Times New Roman"/>
          <w:color w:val="000000" w:themeColor="text1"/>
        </w:rPr>
        <w:t>2021Q1</w:t>
      </w:r>
      <w:r w:rsidRPr="005F5029">
        <w:rPr>
          <w:rFonts w:ascii="Times New Roman" w:eastAsia="楷体" w:hAnsi="Times New Roman" w:cs="Times New Roman"/>
          <w:color w:val="000000" w:themeColor="text1"/>
        </w:rPr>
        <w:t>整体贷款利率稳中有升，但可能仍低于存量贷款收益率。存量</w:t>
      </w:r>
      <w:proofErr w:type="gramStart"/>
      <w:r w:rsidRPr="005F5029">
        <w:rPr>
          <w:rFonts w:ascii="Times New Roman" w:eastAsia="楷体" w:hAnsi="Times New Roman" w:cs="Times New Roman"/>
          <w:color w:val="000000" w:themeColor="text1"/>
        </w:rPr>
        <w:t>贷款重</w:t>
      </w:r>
      <w:proofErr w:type="gramEnd"/>
      <w:r w:rsidRPr="005F5029">
        <w:rPr>
          <w:rFonts w:ascii="Times New Roman" w:eastAsia="楷体" w:hAnsi="Times New Roman" w:cs="Times New Roman"/>
          <w:color w:val="000000" w:themeColor="text1"/>
        </w:rPr>
        <w:t>定价影响有限</w:t>
      </w:r>
      <w:r w:rsidRPr="005F5029">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部分银行已提前调整</w:t>
      </w:r>
      <w:proofErr w:type="gramStart"/>
      <w:r w:rsidRPr="005F5029">
        <w:rPr>
          <w:rFonts w:ascii="Times New Roman" w:eastAsia="楷体" w:hAnsi="Times New Roman" w:cs="Times New Roman"/>
          <w:color w:val="000000" w:themeColor="text1"/>
        </w:rPr>
        <w:t>贷款重</w:t>
      </w:r>
      <w:proofErr w:type="gramEnd"/>
      <w:r w:rsidRPr="005F5029">
        <w:rPr>
          <w:rFonts w:ascii="Times New Roman" w:eastAsia="楷体" w:hAnsi="Times New Roman" w:cs="Times New Roman"/>
          <w:color w:val="000000" w:themeColor="text1"/>
        </w:rPr>
        <w:t>定价日，避免</w:t>
      </w:r>
      <w:r w:rsidRPr="005F5029">
        <w:rPr>
          <w:rFonts w:ascii="Times New Roman" w:eastAsia="楷体" w:hAnsi="Times New Roman" w:cs="Times New Roman"/>
          <w:color w:val="000000" w:themeColor="text1"/>
        </w:rPr>
        <w:t>1</w:t>
      </w:r>
      <w:r w:rsidRPr="005F5029">
        <w:rPr>
          <w:rFonts w:ascii="Times New Roman" w:eastAsia="楷体" w:hAnsi="Times New Roman" w:cs="Times New Roman"/>
          <w:color w:val="000000" w:themeColor="text1"/>
        </w:rPr>
        <w:t>月</w:t>
      </w:r>
      <w:r w:rsidRPr="005F5029">
        <w:rPr>
          <w:rFonts w:ascii="Times New Roman" w:eastAsia="楷体" w:hAnsi="Times New Roman" w:cs="Times New Roman"/>
          <w:color w:val="000000" w:themeColor="text1"/>
        </w:rPr>
        <w:t>1</w:t>
      </w:r>
      <w:r w:rsidRPr="005F5029">
        <w:rPr>
          <w:rFonts w:ascii="Times New Roman" w:eastAsia="楷体" w:hAnsi="Times New Roman" w:cs="Times New Roman"/>
          <w:color w:val="000000" w:themeColor="text1"/>
        </w:rPr>
        <w:t>日集中重定价对息差的冲击，</w:t>
      </w:r>
      <w:r w:rsidR="00AE6105">
        <w:rPr>
          <w:rFonts w:ascii="Times New Roman" w:eastAsia="楷体" w:hAnsi="Times New Roman" w:cs="Times New Roman" w:hint="eastAsia"/>
          <w:color w:val="000000" w:themeColor="text1"/>
        </w:rPr>
        <w:t>在</w:t>
      </w:r>
      <w:r w:rsidRPr="005F5029">
        <w:rPr>
          <w:rFonts w:ascii="Times New Roman" w:eastAsia="楷体" w:hAnsi="Times New Roman" w:cs="Times New Roman"/>
          <w:color w:val="000000" w:themeColor="text1"/>
        </w:rPr>
        <w:t>存量贷款比重有限的情况下，预计贷款收益受到的影响可控。综合考虑新发放贷款与存量贷款的利率差以及存量</w:t>
      </w:r>
      <w:proofErr w:type="gramStart"/>
      <w:r w:rsidRPr="005F5029">
        <w:rPr>
          <w:rFonts w:ascii="Times New Roman" w:eastAsia="楷体" w:hAnsi="Times New Roman" w:cs="Times New Roman"/>
          <w:color w:val="000000" w:themeColor="text1"/>
        </w:rPr>
        <w:t>贷款重</w:t>
      </w:r>
      <w:proofErr w:type="gramEnd"/>
      <w:r w:rsidRPr="005F5029">
        <w:rPr>
          <w:rFonts w:ascii="Times New Roman" w:eastAsia="楷体" w:hAnsi="Times New Roman" w:cs="Times New Roman"/>
          <w:color w:val="000000" w:themeColor="text1"/>
        </w:rPr>
        <w:t>定价影响，预计银行贷款收益率可能小幅收窄。有序引导负债成本下降</w:t>
      </w:r>
      <w:proofErr w:type="gramStart"/>
      <w:r w:rsidRPr="005F5029">
        <w:rPr>
          <w:rFonts w:ascii="Times New Roman" w:eastAsia="楷体" w:hAnsi="Times New Roman" w:cs="Times New Roman"/>
          <w:color w:val="000000" w:themeColor="text1"/>
        </w:rPr>
        <w:t>仍为主</w:t>
      </w:r>
      <w:proofErr w:type="gramEnd"/>
      <w:r w:rsidRPr="005F5029">
        <w:rPr>
          <w:rFonts w:ascii="Times New Roman" w:eastAsia="楷体" w:hAnsi="Times New Roman" w:cs="Times New Roman"/>
          <w:color w:val="000000" w:themeColor="text1"/>
        </w:rPr>
        <w:t>基调</w:t>
      </w:r>
      <w:r w:rsidRPr="005F5029">
        <w:rPr>
          <w:rFonts w:ascii="Times New Roman" w:eastAsia="楷体" w:hAnsi="Times New Roman" w:cs="Times New Roman" w:hint="eastAsia"/>
          <w:color w:val="000000" w:themeColor="text1"/>
        </w:rPr>
        <w:t>，</w:t>
      </w:r>
      <w:r w:rsidRPr="005F5029">
        <w:rPr>
          <w:rFonts w:ascii="Times New Roman" w:eastAsia="楷体" w:hAnsi="Times New Roman" w:cs="Times New Roman"/>
          <w:color w:val="000000" w:themeColor="text1"/>
        </w:rPr>
        <w:t>前期监管持续引导压降结构性存款等高成本负债成本，预计下阶段银行将继续调整负债结构保证负债成本下降。由于存款竞争格局仍较为激烈，负债成本下降幅度仍有待观察。</w:t>
      </w:r>
    </w:p>
    <w:p w14:paraId="11A60E0D" w14:textId="30912298" w:rsidR="005F5029" w:rsidRPr="005F5029" w:rsidRDefault="005F5029" w:rsidP="005F5029">
      <w:pPr>
        <w:ind w:firstLine="420"/>
        <w:jc w:val="left"/>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5</w:t>
      </w:r>
      <w:r>
        <w:rPr>
          <w:rFonts w:ascii="Times New Roman" w:eastAsia="楷体" w:hAnsi="Times New Roman" w:cs="Times New Roman" w:hint="eastAsia"/>
          <w:color w:val="000000" w:themeColor="text1"/>
        </w:rPr>
        <w:t>、</w:t>
      </w:r>
      <w:r w:rsidRPr="005F5029">
        <w:rPr>
          <w:rFonts w:ascii="Times New Roman" w:eastAsia="楷体" w:hAnsi="Times New Roman" w:cs="Times New Roman" w:hint="eastAsia"/>
          <w:color w:val="000000" w:themeColor="text1"/>
        </w:rPr>
        <w:t>风险提示：</w:t>
      </w:r>
    </w:p>
    <w:p w14:paraId="2A75C9D6" w14:textId="77777777" w:rsidR="005F5029" w:rsidRPr="005F5029" w:rsidRDefault="005F5029" w:rsidP="005F5029">
      <w:pPr>
        <w:ind w:firstLine="420"/>
        <w:jc w:val="left"/>
        <w:rPr>
          <w:rFonts w:ascii="Times New Roman" w:eastAsia="楷体" w:hAnsi="Times New Roman" w:cs="Times New Roman"/>
          <w:color w:val="000000" w:themeColor="text1"/>
        </w:rPr>
      </w:pPr>
      <w:r w:rsidRPr="005F5029">
        <w:rPr>
          <w:rFonts w:ascii="Times New Roman" w:eastAsia="楷体" w:hAnsi="Times New Roman" w:cs="Times New Roman" w:hint="eastAsia"/>
          <w:color w:val="000000" w:themeColor="text1"/>
        </w:rPr>
        <w:t>受近期密集且深层次</w:t>
      </w:r>
      <w:r w:rsidRPr="005F5029">
        <w:rPr>
          <w:rFonts w:ascii="Times New Roman" w:eastAsia="楷体" w:hAnsi="Times New Roman" w:cs="Times New Roman"/>
          <w:color w:val="000000" w:themeColor="text1"/>
        </w:rPr>
        <w:t>地产调控</w:t>
      </w:r>
      <w:r w:rsidRPr="005F5029">
        <w:rPr>
          <w:rFonts w:ascii="Times New Roman" w:eastAsia="楷体" w:hAnsi="Times New Roman" w:cs="Times New Roman" w:hint="eastAsia"/>
          <w:color w:val="000000" w:themeColor="text1"/>
        </w:rPr>
        <w:t>、行业监管政策的多方面因素影响，银行资产端可能会出现的增速疲软。</w:t>
      </w:r>
    </w:p>
    <w:p w14:paraId="054B8E06" w14:textId="29689CCF" w:rsidR="005F5029" w:rsidRPr="005F5029" w:rsidRDefault="005F5029" w:rsidP="005F5029">
      <w:pPr>
        <w:ind w:firstLineChars="200" w:firstLine="480"/>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2F550166" w:rsidR="00F35B5E" w:rsidRDefault="006F64AD" w:rsidP="00356BF9">
      <w:pPr>
        <w:ind w:firstLineChars="200" w:firstLine="480"/>
        <w:rPr>
          <w:rFonts w:ascii="Times New Roman" w:eastAsia="楷体" w:hAnsi="Times New Roman" w:cs="Times New Roman"/>
          <w:color w:val="000000" w:themeColor="text1"/>
        </w:rPr>
      </w:pPr>
      <w:bookmarkStart w:id="1" w:name="_Hlk43632399"/>
      <w:r w:rsidRPr="006F64AD">
        <w:rPr>
          <w:rFonts w:ascii="Times New Roman" w:eastAsia="楷体" w:hAnsi="Times New Roman" w:cs="Times New Roman" w:hint="eastAsia"/>
          <w:color w:val="000000" w:themeColor="text1"/>
        </w:rPr>
        <w:t>大类资产方面，</w:t>
      </w:r>
      <w:r w:rsidR="005F44FA">
        <w:rPr>
          <w:rFonts w:ascii="Times New Roman" w:eastAsia="楷体" w:hAnsi="Times New Roman" w:cs="Times New Roman" w:hint="eastAsia"/>
          <w:color w:val="000000" w:themeColor="text1"/>
        </w:rPr>
        <w:t>美元</w:t>
      </w:r>
      <w:r w:rsidR="002B7D2F">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0.36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5F44FA">
        <w:rPr>
          <w:rFonts w:ascii="Times New Roman" w:eastAsia="楷体" w:hAnsi="Times New Roman" w:cs="Times New Roman" w:hint="eastAsia"/>
          <w:color w:val="000000" w:themeColor="text1"/>
        </w:rPr>
        <w:t>NYMEX</w:t>
      </w:r>
      <w:r w:rsidR="005F44FA">
        <w:rPr>
          <w:rFonts w:ascii="Times New Roman" w:eastAsia="楷体" w:hAnsi="Times New Roman" w:cs="Times New Roman" w:hint="eastAsia"/>
          <w:color w:val="000000" w:themeColor="text1"/>
        </w:rPr>
        <w:t>原油</w:t>
      </w:r>
      <w:r w:rsidR="00F142C6">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-0.25</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proofErr w:type="gramStart"/>
      <w:r w:rsidR="005F44FA">
        <w:rPr>
          <w:rFonts w:ascii="Times New Roman" w:eastAsia="楷体" w:hAnsi="Times New Roman" w:cs="Times New Roman" w:hint="eastAsia"/>
          <w:color w:val="000000" w:themeColor="text1"/>
        </w:rPr>
        <w:t>中债总指数</w:t>
      </w:r>
      <w:proofErr w:type="gramEnd"/>
      <w:r w:rsidRPr="006F64AD">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-0.31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5F44FA">
        <w:rPr>
          <w:rFonts w:ascii="Times New Roman" w:eastAsia="楷体" w:hAnsi="Times New Roman" w:cs="Times New Roman" w:hint="eastAsia"/>
          <w:color w:val="000000" w:themeColor="text1"/>
        </w:rPr>
        <w:t>恒生</w:t>
      </w:r>
      <w:r w:rsidR="002B7D2F">
        <w:rPr>
          <w:rFonts w:ascii="Times New Roman" w:eastAsia="楷体" w:hAnsi="Times New Roman" w:cs="Times New Roman" w:hint="eastAsia"/>
          <w:color w:val="000000" w:themeColor="text1"/>
        </w:rPr>
        <w:t>指数</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3.95</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英国富时</w:t>
      </w:r>
      <w:r w:rsidR="005F44FA">
        <w:rPr>
          <w:rFonts w:ascii="Times New Roman" w:eastAsia="楷体" w:hAnsi="Times New Roman" w:cs="Times New Roman" w:hint="eastAsia"/>
          <w:color w:val="000000" w:themeColor="text1"/>
        </w:rPr>
        <w:t>100</w:t>
      </w:r>
      <w:r w:rsidR="005F44FA">
        <w:rPr>
          <w:rFonts w:ascii="Times New Roman" w:eastAsia="楷体" w:hAnsi="Times New Roman" w:cs="Times New Roman" w:hint="eastAsia"/>
          <w:color w:val="000000" w:themeColor="text1"/>
        </w:rPr>
        <w:t>指数</w:t>
      </w:r>
      <w:r w:rsidR="00E34CDC">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-4.30</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万得全</w:t>
      </w:r>
      <w:r w:rsidR="005F44FA">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4.35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w:t>
      </w:r>
      <w:r w:rsidRPr="006F64AD">
        <w:rPr>
          <w:rFonts w:ascii="Times New Roman" w:eastAsia="楷体" w:hAnsi="Times New Roman" w:cs="Times New Roman" w:hint="eastAsia"/>
          <w:color w:val="000000" w:themeColor="text1"/>
        </w:rPr>
        <w:lastRenderedPageBreak/>
        <w:t>要股票市场</w:t>
      </w:r>
      <w:r w:rsidR="005F44FA">
        <w:rPr>
          <w:rFonts w:ascii="Times New Roman" w:eastAsia="楷体" w:hAnsi="Times New Roman" w:cs="Times New Roman" w:hint="eastAsia"/>
          <w:color w:val="000000" w:themeColor="text1"/>
        </w:rPr>
        <w:t>普遍下跌</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w:t>
      </w:r>
      <w:r w:rsidR="002B7D2F">
        <w:rPr>
          <w:rFonts w:ascii="Times New Roman" w:eastAsia="楷体" w:hAnsi="Times New Roman" w:cs="Times New Roman" w:hint="eastAsia"/>
          <w:color w:val="000000" w:themeColor="text1"/>
        </w:rPr>
        <w:t>幅</w:t>
      </w:r>
      <w:r w:rsidR="009E3B0D">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4.30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5F44FA">
        <w:rPr>
          <w:rFonts w:ascii="Times New Roman" w:eastAsia="楷体" w:hAnsi="Times New Roman" w:cs="Times New Roman" w:hint="eastAsia"/>
          <w:color w:val="000000" w:themeColor="text1"/>
        </w:rPr>
        <w:t>-3.18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9A2BFE">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2.88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5F44FA">
        <w:rPr>
          <w:rFonts w:ascii="Times New Roman" w:eastAsia="楷体" w:hAnsi="Times New Roman" w:cs="Times New Roman" w:hint="eastAsia"/>
          <w:color w:val="000000" w:themeColor="text1"/>
        </w:rPr>
        <w:t>弱</w:t>
      </w:r>
      <w:r w:rsidRPr="006F64AD">
        <w:rPr>
          <w:rFonts w:ascii="Times New Roman" w:eastAsia="楷体" w:hAnsi="Times New Roman" w:cs="Times New Roman" w:hint="eastAsia"/>
          <w:color w:val="000000" w:themeColor="text1"/>
        </w:rPr>
        <w:t>，纳斯达克指数周内涨幅</w:t>
      </w:r>
      <w:r w:rsidR="005F44FA">
        <w:rPr>
          <w:rFonts w:ascii="Times New Roman" w:eastAsia="楷体" w:hAnsi="Times New Roman" w:cs="Times New Roman" w:hint="eastAsia"/>
          <w:color w:val="000000" w:themeColor="text1"/>
        </w:rPr>
        <w:t>-3.49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5F44FA">
        <w:rPr>
          <w:rFonts w:ascii="Times New Roman" w:eastAsia="楷体" w:hAnsi="Times New Roman" w:cs="Times New Roman" w:hint="eastAsia"/>
          <w:color w:val="000000" w:themeColor="text1"/>
        </w:rPr>
        <w:t>-3.31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5F44FA">
        <w:rPr>
          <w:rFonts w:ascii="Times New Roman" w:eastAsia="楷体" w:hAnsi="Times New Roman" w:cs="Times New Roman" w:hint="eastAsia"/>
          <w:color w:val="000000" w:themeColor="text1"/>
        </w:rPr>
        <w:t>-3.27</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78D43D36" w:rsidR="00D7571B" w:rsidRPr="00C2678E" w:rsidRDefault="006F64AD" w:rsidP="00356BF9">
      <w:pPr>
        <w:ind w:firstLineChars="200" w:firstLine="480"/>
        <w:rPr>
          <w:rFonts w:ascii="Times New Roman" w:eastAsia="楷体" w:hAnsi="Times New Roman" w:cs="Times New Roman"/>
        </w:rPr>
      </w:pPr>
      <w:bookmarkStart w:id="2"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5F44FA">
        <w:rPr>
          <w:rFonts w:ascii="Times New Roman" w:eastAsia="楷体" w:hAnsi="Times New Roman" w:cs="Times New Roman" w:hint="eastAsia"/>
          <w:color w:val="000000" w:themeColor="text1"/>
        </w:rPr>
        <w:t>弱</w:t>
      </w:r>
      <w:r w:rsidRPr="006F64AD">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创</w:t>
      </w:r>
      <w:r w:rsidR="005A71FF">
        <w:rPr>
          <w:rFonts w:ascii="Times New Roman" w:eastAsia="楷体" w:hAnsi="Times New Roman" w:cs="Times New Roman" w:hint="eastAsia"/>
          <w:color w:val="000000" w:themeColor="text1"/>
        </w:rPr>
        <w:t>50</w:t>
      </w:r>
      <w:r w:rsidRPr="006F64AD">
        <w:rPr>
          <w:rFonts w:ascii="Times New Roman" w:eastAsia="楷体" w:hAnsi="Times New Roman" w:cs="Times New Roman" w:hint="eastAsia"/>
          <w:color w:val="000000" w:themeColor="text1"/>
        </w:rPr>
        <w:t>指数领</w:t>
      </w:r>
      <w:r w:rsidR="005A71FF">
        <w:rPr>
          <w:rFonts w:ascii="Times New Roman" w:eastAsia="楷体" w:hAnsi="Times New Roman" w:cs="Times New Roman" w:hint="eastAsia"/>
          <w:color w:val="000000" w:themeColor="text1"/>
        </w:rPr>
        <w:t>跌</w:t>
      </w:r>
      <w:r w:rsidRPr="006F64AD">
        <w:rPr>
          <w:rFonts w:ascii="Times New Roman" w:eastAsia="楷体" w:hAnsi="Times New Roman" w:cs="Times New Roman" w:hint="eastAsia"/>
          <w:color w:val="000000" w:themeColor="text1"/>
        </w:rPr>
        <w:t>，周涨幅</w:t>
      </w:r>
      <w:r w:rsidR="005A71FF">
        <w:rPr>
          <w:rFonts w:ascii="Times New Roman" w:eastAsia="楷体" w:hAnsi="Times New Roman" w:cs="Times New Roman" w:hint="eastAsia"/>
          <w:color w:val="000000" w:themeColor="text1"/>
        </w:rPr>
        <w:t>-7.40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5A71FF">
        <w:rPr>
          <w:rFonts w:ascii="Times New Roman" w:eastAsia="楷体" w:hAnsi="Times New Roman" w:cs="Times New Roman" w:hint="eastAsia"/>
          <w:color w:val="000000" w:themeColor="text1"/>
        </w:rPr>
        <w:t>下跌</w:t>
      </w:r>
      <w:r w:rsidR="005A71FF">
        <w:rPr>
          <w:rFonts w:ascii="Times New Roman" w:eastAsia="楷体" w:hAnsi="Times New Roman" w:cs="Times New Roman" w:hint="eastAsia"/>
          <w:color w:val="000000" w:themeColor="text1"/>
        </w:rPr>
        <w:t>3.43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5A71FF">
        <w:rPr>
          <w:rFonts w:ascii="Times New Roman" w:eastAsia="楷体" w:hAnsi="Times New Roman" w:cs="Times New Roman" w:hint="eastAsia"/>
          <w:color w:val="000000" w:themeColor="text1"/>
        </w:rPr>
        <w:t>3483.07</w:t>
      </w:r>
      <w:r w:rsidRPr="006F64AD">
        <w:rPr>
          <w:rFonts w:ascii="Times New Roman" w:eastAsia="楷体" w:hAnsi="Times New Roman" w:cs="Times New Roman" w:hint="eastAsia"/>
          <w:color w:val="000000" w:themeColor="text1"/>
        </w:rPr>
        <w:t>点；深证成指周内</w:t>
      </w:r>
      <w:r w:rsidR="005A71FF">
        <w:rPr>
          <w:rFonts w:ascii="Times New Roman" w:eastAsia="楷体" w:hAnsi="Times New Roman" w:cs="Times New Roman" w:hint="eastAsia"/>
          <w:color w:val="000000" w:themeColor="text1"/>
        </w:rPr>
        <w:t>下跌</w:t>
      </w:r>
      <w:r w:rsidR="00A940A7">
        <w:rPr>
          <w:rFonts w:ascii="Times New Roman" w:eastAsia="楷体" w:hAnsi="Times New Roman" w:cs="Times New Roman" w:hint="eastAsia"/>
          <w:color w:val="000000" w:themeColor="text1"/>
        </w:rPr>
        <w:t>5.16</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5A71FF">
        <w:rPr>
          <w:rFonts w:ascii="Times New Roman" w:eastAsia="楷体" w:hAnsi="Times New Roman" w:cs="Times New Roman" w:hint="eastAsia"/>
          <w:color w:val="000000" w:themeColor="text1"/>
        </w:rPr>
        <w:t>14821.99</w:t>
      </w:r>
      <w:r w:rsidRPr="006F64AD">
        <w:rPr>
          <w:rFonts w:ascii="Times New Roman" w:eastAsia="楷体" w:hAnsi="Times New Roman" w:cs="Times New Roman" w:hint="eastAsia"/>
          <w:color w:val="000000" w:themeColor="text1"/>
        </w:rPr>
        <w:t>点；创业板指周内</w:t>
      </w:r>
      <w:r w:rsidR="005A71FF">
        <w:rPr>
          <w:rFonts w:ascii="Times New Roman" w:eastAsia="楷体" w:hAnsi="Times New Roman" w:cs="Times New Roman" w:hint="eastAsia"/>
          <w:color w:val="000000" w:themeColor="text1"/>
        </w:rPr>
        <w:t>下跌</w:t>
      </w:r>
      <w:r w:rsidR="00A940A7">
        <w:rPr>
          <w:rFonts w:ascii="Times New Roman" w:eastAsia="楷体" w:hAnsi="Times New Roman" w:cs="Times New Roman" w:hint="eastAsia"/>
          <w:color w:val="000000" w:themeColor="text1"/>
        </w:rPr>
        <w:t>6.83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5A71FF">
        <w:rPr>
          <w:rFonts w:ascii="Times New Roman" w:eastAsia="楷体" w:hAnsi="Times New Roman" w:cs="Times New Roman" w:hint="eastAsia"/>
          <w:color w:val="000000" w:themeColor="text1"/>
        </w:rPr>
        <w:t>3128.96</w:t>
      </w:r>
      <w:r w:rsidRPr="006F64AD">
        <w:rPr>
          <w:rFonts w:ascii="Times New Roman" w:eastAsia="楷体" w:hAnsi="Times New Roman" w:cs="Times New Roman" w:hint="eastAsia"/>
          <w:color w:val="000000" w:themeColor="text1"/>
        </w:rPr>
        <w:t>点。两市周内日均成交</w:t>
      </w:r>
      <w:r w:rsidR="005A71FF">
        <w:rPr>
          <w:rFonts w:ascii="Times New Roman" w:eastAsia="楷体" w:hAnsi="Times New Roman" w:cs="Times New Roman" w:hint="eastAsia"/>
          <w:color w:val="000000" w:themeColor="text1"/>
        </w:rPr>
        <w:t>10026.54</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w:t>
      </w:r>
      <w:r w:rsidR="009A2BFE">
        <w:rPr>
          <w:rFonts w:ascii="Times New Roman" w:eastAsia="楷体" w:hAnsi="Times New Roman" w:cs="Times New Roman" w:hint="eastAsia"/>
          <w:color w:val="000000" w:themeColor="text1"/>
        </w:rPr>
        <w:t>减少</w:t>
      </w:r>
      <w:r w:rsidR="005A71FF">
        <w:rPr>
          <w:rFonts w:ascii="Times New Roman" w:eastAsia="楷体" w:hAnsi="Times New Roman" w:cs="Times New Roman" w:hint="eastAsia"/>
          <w:color w:val="000000" w:themeColor="text1"/>
        </w:rPr>
        <w:t>282.12</w:t>
      </w:r>
      <w:r w:rsidRPr="006F64AD">
        <w:rPr>
          <w:rFonts w:ascii="Times New Roman" w:eastAsia="楷体" w:hAnsi="Times New Roman" w:cs="Times New Roman" w:hint="eastAsia"/>
          <w:color w:val="000000" w:themeColor="text1"/>
        </w:rPr>
        <w:t>亿元。两市个股周内</w:t>
      </w:r>
      <w:r w:rsidR="0027033F">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748</w:t>
      </w:r>
      <w:r w:rsidRPr="006F64AD">
        <w:rPr>
          <w:rFonts w:ascii="Times New Roman" w:eastAsia="楷体" w:hAnsi="Times New Roman" w:cs="Times New Roman" w:hint="eastAsia"/>
          <w:color w:val="000000" w:themeColor="text1"/>
        </w:rPr>
        <w:t>家上涨，</w:t>
      </w:r>
      <w:r w:rsidR="005A71FF">
        <w:rPr>
          <w:rFonts w:ascii="Times New Roman" w:eastAsia="楷体" w:hAnsi="Times New Roman" w:cs="Times New Roman" w:hint="eastAsia"/>
          <w:color w:val="000000" w:themeColor="text1"/>
        </w:rPr>
        <w:t>25</w:t>
      </w:r>
      <w:r w:rsidRPr="006F64AD">
        <w:rPr>
          <w:rFonts w:ascii="Times New Roman" w:eastAsia="楷体" w:hAnsi="Times New Roman" w:cs="Times New Roman" w:hint="eastAsia"/>
          <w:color w:val="000000" w:themeColor="text1"/>
        </w:rPr>
        <w:t>家平盘，</w:t>
      </w:r>
      <w:r w:rsidR="005A71FF">
        <w:rPr>
          <w:rFonts w:ascii="Times New Roman" w:eastAsia="楷体" w:hAnsi="Times New Roman" w:cs="Times New Roman" w:hint="eastAsia"/>
          <w:color w:val="000000" w:themeColor="text1"/>
        </w:rPr>
        <w:t>3385</w:t>
      </w:r>
      <w:r w:rsidRPr="006F64AD">
        <w:rPr>
          <w:rFonts w:ascii="Times New Roman" w:eastAsia="楷体" w:hAnsi="Times New Roman" w:cs="Times New Roman" w:hint="eastAsia"/>
          <w:color w:val="000000" w:themeColor="text1"/>
        </w:rPr>
        <w:t>家下跌；全市场本周累计涨停</w:t>
      </w:r>
      <w:r w:rsidR="005A71FF">
        <w:rPr>
          <w:rFonts w:ascii="Times New Roman" w:eastAsia="楷体" w:hAnsi="Times New Roman" w:cs="Times New Roman" w:hint="eastAsia"/>
          <w:color w:val="000000" w:themeColor="text1"/>
        </w:rPr>
        <w:t>350</w:t>
      </w:r>
      <w:r w:rsidRPr="006F64AD">
        <w:rPr>
          <w:rFonts w:ascii="Times New Roman" w:eastAsia="楷体" w:hAnsi="Times New Roman" w:cs="Times New Roman" w:hint="eastAsia"/>
          <w:color w:val="000000" w:themeColor="text1"/>
        </w:rPr>
        <w:t>家，本周累计跌停</w:t>
      </w:r>
      <w:r w:rsidR="005A71FF">
        <w:rPr>
          <w:rFonts w:ascii="Times New Roman" w:eastAsia="楷体" w:hAnsi="Times New Roman" w:cs="Times New Roman" w:hint="eastAsia"/>
          <w:color w:val="000000" w:themeColor="text1"/>
        </w:rPr>
        <w:t>230</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2"/>
    <w:p w14:paraId="001A09E6" w14:textId="406C8E07"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D96A7B">
        <w:rPr>
          <w:rFonts w:ascii="Times New Roman" w:eastAsia="楷体" w:hAnsi="Times New Roman" w:cs="Times New Roman" w:hint="eastAsia"/>
          <w:b/>
        </w:rPr>
        <w:t>创</w:t>
      </w:r>
      <w:r w:rsidR="005A71FF">
        <w:rPr>
          <w:rFonts w:ascii="Times New Roman" w:eastAsia="楷体" w:hAnsi="Times New Roman" w:cs="Times New Roman" w:hint="eastAsia"/>
          <w:b/>
        </w:rPr>
        <w:t>50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5A71FF">
        <w:rPr>
          <w:rFonts w:ascii="Times New Roman" w:eastAsia="楷体" w:hAnsi="Times New Roman" w:cs="Times New Roman" w:hint="eastAsia"/>
          <w:b/>
        </w:rPr>
        <w:t>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04F16429" w:rsidR="007E1695" w:rsidRPr="00006470" w:rsidRDefault="005A71FF">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19C9FC10" wp14:editId="473986B3">
            <wp:extent cx="5395595" cy="29813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606A567E"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5A71FF">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5A71FF">
        <w:rPr>
          <w:rFonts w:ascii="Times New Roman" w:eastAsia="楷体" w:hAnsi="Times New Roman" w:cs="Times New Roman" w:hint="eastAsia"/>
          <w:color w:val="000000" w:themeColor="text1"/>
        </w:rPr>
        <w:t>4.31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5A71FF">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0.36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5A71FF">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-0.31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w:t>
      </w:r>
      <w:r w:rsidR="005A71FF">
        <w:rPr>
          <w:rFonts w:ascii="Times New Roman" w:eastAsia="楷体" w:hAnsi="Times New Roman" w:cs="Times New Roman" w:hint="eastAsia"/>
          <w:color w:val="000000" w:themeColor="text1"/>
        </w:rPr>
        <w:t>化工</w:t>
      </w:r>
      <w:r w:rsidR="004C2E02">
        <w:rPr>
          <w:rFonts w:ascii="Times New Roman" w:eastAsia="楷体" w:hAnsi="Times New Roman" w:cs="Times New Roman" w:hint="eastAsia"/>
          <w:color w:val="000000" w:themeColor="text1"/>
        </w:rPr>
        <w:t>板块</w:t>
      </w:r>
      <w:r w:rsidRPr="006F64AD">
        <w:rPr>
          <w:rFonts w:ascii="Times New Roman" w:eastAsia="楷体" w:hAnsi="Times New Roman" w:cs="Times New Roman" w:hint="eastAsia"/>
          <w:color w:val="000000" w:themeColor="text1"/>
        </w:rPr>
        <w:t>表现较好</w:t>
      </w:r>
      <w:r w:rsidR="00D96A7B">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化工</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6.65</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6.51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电气设备</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5.75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w:t>
      </w:r>
      <w:r w:rsidR="005A71FF">
        <w:rPr>
          <w:rFonts w:ascii="Times New Roman" w:eastAsia="楷体" w:hAnsi="Times New Roman" w:cs="Times New Roman" w:hint="eastAsia"/>
          <w:color w:val="000000" w:themeColor="text1"/>
        </w:rPr>
        <w:t>纺织服装</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7.50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商业贸易</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7.97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国防军工</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10.20</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3B8A33D7"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5A71FF">
        <w:rPr>
          <w:rFonts w:ascii="Times New Roman" w:eastAsia="楷体" w:hAnsi="Times New Roman" w:cs="Times New Roman" w:hint="eastAsia"/>
          <w:b/>
        </w:rPr>
        <w:t>休闲服务</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73986B32" w:rsidR="00C13CA5" w:rsidRPr="00006470" w:rsidRDefault="005A71FF"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FCA6F4F" wp14:editId="6678437B">
            <wp:extent cx="6410325" cy="1860602"/>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21054" cy="1863716"/>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29403D09" w:rsidR="00150164" w:rsidRDefault="006F64AD" w:rsidP="00637AF3">
      <w:pPr>
        <w:ind w:firstLineChars="200" w:firstLine="480"/>
        <w:rPr>
          <w:rFonts w:ascii="Times New Roman" w:eastAsia="楷体" w:hAnsi="Times New Roman" w:cs="Times New Roman"/>
          <w:color w:val="000000" w:themeColor="text1"/>
        </w:rPr>
      </w:pPr>
      <w:bookmarkStart w:id="3" w:name="_Hlk43632466"/>
      <w:r w:rsidRPr="006F64AD">
        <w:rPr>
          <w:rFonts w:ascii="Times New Roman" w:eastAsia="楷体" w:hAnsi="Times New Roman" w:cs="Times New Roman" w:hint="eastAsia"/>
          <w:color w:val="000000" w:themeColor="text1"/>
        </w:rPr>
        <w:t>资金面看，陆股通上周净流</w:t>
      </w:r>
      <w:r w:rsidR="00246642">
        <w:rPr>
          <w:rFonts w:ascii="Times New Roman" w:eastAsia="楷体" w:hAnsi="Times New Roman" w:cs="Times New Roman" w:hint="eastAsia"/>
          <w:color w:val="000000" w:themeColor="text1"/>
        </w:rPr>
        <w:t>出</w:t>
      </w:r>
      <w:r w:rsidR="00246642">
        <w:rPr>
          <w:rFonts w:ascii="Times New Roman" w:eastAsia="楷体" w:hAnsi="Times New Roman" w:cs="Times New Roman" w:hint="eastAsia"/>
          <w:color w:val="000000" w:themeColor="text1"/>
        </w:rPr>
        <w:t>67.37</w:t>
      </w:r>
      <w:r w:rsidRPr="006F64AD">
        <w:rPr>
          <w:rFonts w:ascii="Times New Roman" w:eastAsia="楷体" w:hAnsi="Times New Roman" w:cs="Times New Roman" w:hint="eastAsia"/>
          <w:color w:val="000000" w:themeColor="text1"/>
        </w:rPr>
        <w:t>亿元；全周新成立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246642">
        <w:rPr>
          <w:rFonts w:ascii="Times New Roman" w:eastAsia="楷体" w:hAnsi="Times New Roman" w:cs="Times New Roman" w:hint="eastAsia"/>
          <w:color w:val="000000" w:themeColor="text1"/>
        </w:rPr>
        <w:t>894.27</w:t>
      </w:r>
      <w:r w:rsidRPr="006F64AD">
        <w:rPr>
          <w:rFonts w:ascii="Times New Roman" w:eastAsia="楷体" w:hAnsi="Times New Roman" w:cs="Times New Roman" w:hint="eastAsia"/>
          <w:color w:val="000000" w:themeColor="text1"/>
        </w:rPr>
        <w:t>亿份较前一周</w:t>
      </w:r>
      <w:r w:rsidR="00490477">
        <w:rPr>
          <w:rFonts w:ascii="Times New Roman" w:eastAsia="楷体" w:hAnsi="Times New Roman" w:cs="Times New Roman" w:hint="eastAsia"/>
          <w:color w:val="000000" w:themeColor="text1"/>
        </w:rPr>
        <w:t>大</w:t>
      </w:r>
      <w:r w:rsidR="00D96A7B">
        <w:rPr>
          <w:rFonts w:ascii="Times New Roman" w:eastAsia="楷体" w:hAnsi="Times New Roman" w:cs="Times New Roman" w:hint="eastAsia"/>
          <w:color w:val="000000" w:themeColor="text1"/>
        </w:rPr>
        <w:t>幅减少</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246642">
        <w:rPr>
          <w:rFonts w:ascii="Times New Roman" w:eastAsia="楷体" w:hAnsi="Times New Roman" w:cs="Times New Roman" w:hint="eastAsia"/>
          <w:color w:val="000000" w:themeColor="text1"/>
        </w:rPr>
        <w:t>1596.54</w:t>
      </w:r>
      <w:r w:rsidRPr="006F64AD">
        <w:rPr>
          <w:rFonts w:ascii="Times New Roman" w:eastAsia="楷体" w:hAnsi="Times New Roman" w:cs="Times New Roman" w:hint="eastAsia"/>
          <w:color w:val="000000" w:themeColor="text1"/>
        </w:rPr>
        <w:t>亿元；</w:t>
      </w:r>
      <w:r w:rsidR="00A277F9">
        <w:rPr>
          <w:rFonts w:ascii="Times New Roman" w:eastAsia="楷体" w:hAnsi="Times New Roman" w:cs="Times New Roman" w:hint="eastAsia"/>
          <w:color w:val="000000" w:themeColor="text1"/>
        </w:rPr>
        <w:t>本</w:t>
      </w:r>
      <w:r w:rsidRPr="006F64AD">
        <w:rPr>
          <w:rFonts w:ascii="Times New Roman" w:eastAsia="楷体" w:hAnsi="Times New Roman" w:cs="Times New Roman" w:hint="eastAsia"/>
          <w:color w:val="000000" w:themeColor="text1"/>
        </w:rPr>
        <w:t>周限售解禁市值约</w:t>
      </w:r>
      <w:r w:rsidR="00246642">
        <w:rPr>
          <w:rFonts w:ascii="Times New Roman" w:eastAsia="楷体" w:hAnsi="Times New Roman" w:cs="Times New Roman" w:hint="eastAsia"/>
          <w:color w:val="000000" w:themeColor="text1"/>
        </w:rPr>
        <w:t>1516.64</w:t>
      </w:r>
      <w:r w:rsidRPr="006F64AD">
        <w:rPr>
          <w:rFonts w:ascii="Times New Roman" w:eastAsia="楷体" w:hAnsi="Times New Roman" w:cs="Times New Roman" w:hint="eastAsia"/>
          <w:color w:val="000000" w:themeColor="text1"/>
        </w:rPr>
        <w:t>亿元，与</w:t>
      </w:r>
      <w:r w:rsidR="00A277F9">
        <w:rPr>
          <w:rFonts w:ascii="Times New Roman" w:eastAsia="楷体" w:hAnsi="Times New Roman" w:cs="Times New Roman" w:hint="eastAsia"/>
          <w:color w:val="000000" w:themeColor="text1"/>
        </w:rPr>
        <w:t>上</w:t>
      </w:r>
      <w:r w:rsidRPr="006F64AD">
        <w:rPr>
          <w:rFonts w:ascii="Times New Roman" w:eastAsia="楷体" w:hAnsi="Times New Roman" w:cs="Times New Roman" w:hint="eastAsia"/>
          <w:color w:val="000000" w:themeColor="text1"/>
        </w:rPr>
        <w:t>周相比</w:t>
      </w:r>
      <w:r w:rsidR="001733C8">
        <w:rPr>
          <w:rFonts w:ascii="Times New Roman" w:eastAsia="楷体" w:hAnsi="Times New Roman" w:cs="Times New Roman" w:hint="eastAsia"/>
          <w:color w:val="000000" w:themeColor="text1"/>
        </w:rPr>
        <w:t>大幅</w:t>
      </w:r>
      <w:r w:rsidR="00246642">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EA6102B" w:rsidR="0052683C" w:rsidRPr="00006470" w:rsidRDefault="005F5029"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5F5029">
        <w:rPr>
          <w:rFonts w:ascii="Times New Roman" w:eastAsia="楷体" w:hAnsi="Times New Roman" w:cs="Times New Roman" w:hint="eastAsia"/>
          <w:color w:val="000000"/>
          <w:shd w:val="clear" w:color="auto" w:fill="FFFFFF"/>
        </w:rPr>
        <w:t>周各大指数高位调整，核心为市场担心流动性的边际收紧</w:t>
      </w:r>
      <w:r w:rsidR="00A940A7">
        <w:rPr>
          <w:rFonts w:ascii="Times New Roman" w:eastAsia="楷体" w:hAnsi="Times New Roman" w:cs="Times New Roman" w:hint="eastAsia"/>
          <w:color w:val="000000"/>
          <w:shd w:val="clear" w:color="auto" w:fill="FFFFFF"/>
        </w:rPr>
        <w:t>叠</w:t>
      </w:r>
      <w:r w:rsidRPr="005F5029">
        <w:rPr>
          <w:rFonts w:ascii="Times New Roman" w:eastAsia="楷体" w:hAnsi="Times New Roman" w:cs="Times New Roman" w:hint="eastAsia"/>
          <w:color w:val="000000"/>
          <w:shd w:val="clear" w:color="auto" w:fill="FFFFFF"/>
        </w:rPr>
        <w:t>加前期获利盘较重，军工、新能源、</w:t>
      </w:r>
      <w:proofErr w:type="spellStart"/>
      <w:r w:rsidRPr="005F5029">
        <w:rPr>
          <w:rFonts w:ascii="Times New Roman" w:eastAsia="楷体" w:hAnsi="Times New Roman" w:cs="Times New Roman" w:hint="eastAsia"/>
          <w:color w:val="000000"/>
          <w:shd w:val="clear" w:color="auto" w:fill="FFFFFF"/>
        </w:rPr>
        <w:t>tmt</w:t>
      </w:r>
      <w:proofErr w:type="spellEnd"/>
      <w:r w:rsidRPr="005F5029">
        <w:rPr>
          <w:rFonts w:ascii="Times New Roman" w:eastAsia="楷体" w:hAnsi="Times New Roman" w:cs="Times New Roman" w:hint="eastAsia"/>
          <w:color w:val="000000"/>
          <w:shd w:val="clear" w:color="auto" w:fill="FFFFFF"/>
        </w:rPr>
        <w:t>等调整较大。展望</w:t>
      </w:r>
      <w:r w:rsidR="00A940A7">
        <w:rPr>
          <w:rFonts w:ascii="Times New Roman" w:eastAsia="楷体" w:hAnsi="Times New Roman" w:cs="Times New Roman" w:hint="eastAsia"/>
          <w:color w:val="000000"/>
          <w:shd w:val="clear" w:color="auto" w:fill="FFFFFF"/>
        </w:rPr>
        <w:t>20</w:t>
      </w:r>
      <w:r w:rsidRPr="005F5029">
        <w:rPr>
          <w:rFonts w:ascii="Times New Roman" w:eastAsia="楷体" w:hAnsi="Times New Roman" w:cs="Times New Roman" w:hint="eastAsia"/>
          <w:color w:val="000000"/>
          <w:shd w:val="clear" w:color="auto" w:fill="FFFFFF"/>
        </w:rPr>
        <w:t>21</w:t>
      </w:r>
      <w:r w:rsidRPr="005F5029">
        <w:rPr>
          <w:rFonts w:ascii="Times New Roman" w:eastAsia="楷体" w:hAnsi="Times New Roman" w:cs="Times New Roman" w:hint="eastAsia"/>
          <w:color w:val="000000"/>
          <w:shd w:val="clear" w:color="auto" w:fill="FFFFFF"/>
        </w:rPr>
        <w:t>年流动性较</w:t>
      </w:r>
      <w:r w:rsidR="00A940A7">
        <w:rPr>
          <w:rFonts w:ascii="Times New Roman" w:eastAsia="楷体" w:hAnsi="Times New Roman" w:cs="Times New Roman" w:hint="eastAsia"/>
          <w:color w:val="000000"/>
          <w:shd w:val="clear" w:color="auto" w:fill="FFFFFF"/>
        </w:rPr>
        <w:t>20</w:t>
      </w:r>
      <w:r w:rsidRPr="005F5029">
        <w:rPr>
          <w:rFonts w:ascii="Times New Roman" w:eastAsia="楷体" w:hAnsi="Times New Roman" w:cs="Times New Roman" w:hint="eastAsia"/>
          <w:color w:val="000000"/>
          <w:shd w:val="clear" w:color="auto" w:fill="FFFFFF"/>
        </w:rPr>
        <w:t>20</w:t>
      </w:r>
      <w:r w:rsidRPr="005F5029">
        <w:rPr>
          <w:rFonts w:ascii="Times New Roman" w:eastAsia="楷体" w:hAnsi="Times New Roman" w:cs="Times New Roman" w:hint="eastAsia"/>
          <w:color w:val="000000"/>
          <w:shd w:val="clear" w:color="auto" w:fill="FFFFFF"/>
        </w:rPr>
        <w:t>年边际收紧为大概率事件，如我们前期展望所述在经济边际复苏</w:t>
      </w:r>
      <w:r w:rsidRPr="005F5029">
        <w:rPr>
          <w:rFonts w:ascii="Times New Roman" w:eastAsia="楷体" w:hAnsi="Times New Roman" w:cs="Times New Roman" w:hint="eastAsia"/>
          <w:color w:val="000000"/>
          <w:shd w:val="clear" w:color="auto" w:fill="FFFFFF"/>
        </w:rPr>
        <w:t>+</w:t>
      </w:r>
      <w:r w:rsidRPr="005F5029">
        <w:rPr>
          <w:rFonts w:ascii="Times New Roman" w:eastAsia="楷体" w:hAnsi="Times New Roman" w:cs="Times New Roman" w:hint="eastAsia"/>
          <w:color w:val="000000"/>
          <w:shd w:val="clear" w:color="auto" w:fill="FFFFFF"/>
        </w:rPr>
        <w:t>货币中性的宏观背景下，我们建议轻指数</w:t>
      </w:r>
      <w:proofErr w:type="gramStart"/>
      <w:r w:rsidRPr="005F5029">
        <w:rPr>
          <w:rFonts w:ascii="Times New Roman" w:eastAsia="楷体" w:hAnsi="Times New Roman" w:cs="Times New Roman" w:hint="eastAsia"/>
          <w:color w:val="000000"/>
          <w:shd w:val="clear" w:color="auto" w:fill="FFFFFF"/>
        </w:rPr>
        <w:t>重结构</w:t>
      </w:r>
      <w:proofErr w:type="gramEnd"/>
      <w:r w:rsidRPr="005F5029">
        <w:rPr>
          <w:rFonts w:ascii="Times New Roman" w:eastAsia="楷体" w:hAnsi="Times New Roman" w:cs="Times New Roman" w:hint="eastAsia"/>
          <w:color w:val="000000"/>
          <w:shd w:val="clear" w:color="auto" w:fill="FFFFFF"/>
        </w:rPr>
        <w:t>以业绩为导向寻找标的。从目前上市公司年度业绩预告</w:t>
      </w:r>
      <w:r w:rsidRPr="005F5029">
        <w:rPr>
          <w:rFonts w:ascii="Times New Roman" w:eastAsia="楷体" w:hAnsi="Times New Roman" w:cs="Times New Roman" w:hint="eastAsia"/>
          <w:color w:val="000000"/>
          <w:shd w:val="clear" w:color="auto" w:fill="FFFFFF"/>
        </w:rPr>
        <w:t>/</w:t>
      </w:r>
      <w:r w:rsidRPr="005F5029">
        <w:rPr>
          <w:rFonts w:ascii="Times New Roman" w:eastAsia="楷体" w:hAnsi="Times New Roman" w:cs="Times New Roman" w:hint="eastAsia"/>
          <w:color w:val="000000"/>
          <w:shd w:val="clear" w:color="auto" w:fill="FFFFFF"/>
        </w:rPr>
        <w:t>快报来看，近六成披露了业绩预告整体延续了中报以来的复苏态势，其中新能源、</w:t>
      </w:r>
      <w:proofErr w:type="spellStart"/>
      <w:r w:rsidRPr="005F5029">
        <w:rPr>
          <w:rFonts w:ascii="Times New Roman" w:eastAsia="楷体" w:hAnsi="Times New Roman" w:cs="Times New Roman" w:hint="eastAsia"/>
          <w:color w:val="000000"/>
          <w:shd w:val="clear" w:color="auto" w:fill="FFFFFF"/>
        </w:rPr>
        <w:t>tmt</w:t>
      </w:r>
      <w:proofErr w:type="spellEnd"/>
      <w:r w:rsidRPr="005F5029">
        <w:rPr>
          <w:rFonts w:ascii="Times New Roman" w:eastAsia="楷体" w:hAnsi="Times New Roman" w:cs="Times New Roman" w:hint="eastAsia"/>
          <w:color w:val="000000"/>
          <w:shd w:val="clear" w:color="auto" w:fill="FFFFFF"/>
        </w:rPr>
        <w:t>、医药以及部分资源品等板块表现相对靠前。整体而言我们认为基于业绩修复的结构性行情仍未结束，在疫情阶段仍能维持资本开支</w:t>
      </w:r>
      <w:r w:rsidR="00A940A7">
        <w:rPr>
          <w:rFonts w:ascii="Times New Roman" w:eastAsia="楷体" w:hAnsi="Times New Roman" w:cs="Times New Roman" w:hint="eastAsia"/>
          <w:color w:val="000000"/>
          <w:shd w:val="clear" w:color="auto" w:fill="FFFFFF"/>
        </w:rPr>
        <w:t>,</w:t>
      </w:r>
      <w:r w:rsidRPr="005F5029">
        <w:rPr>
          <w:rFonts w:ascii="Times New Roman" w:eastAsia="楷体" w:hAnsi="Times New Roman" w:cs="Times New Roman" w:hint="eastAsia"/>
          <w:color w:val="000000"/>
          <w:shd w:val="clear" w:color="auto" w:fill="FFFFFF"/>
        </w:rPr>
        <w:t>扩大</w:t>
      </w:r>
      <w:proofErr w:type="gramStart"/>
      <w:r w:rsidRPr="005F5029">
        <w:rPr>
          <w:rFonts w:ascii="Times New Roman" w:eastAsia="楷体" w:hAnsi="Times New Roman" w:cs="Times New Roman" w:hint="eastAsia"/>
          <w:color w:val="000000"/>
          <w:shd w:val="clear" w:color="auto" w:fill="FFFFFF"/>
        </w:rPr>
        <w:t>市占率的</w:t>
      </w:r>
      <w:proofErr w:type="gramEnd"/>
      <w:r w:rsidRPr="005F5029">
        <w:rPr>
          <w:rFonts w:ascii="Times New Roman" w:eastAsia="楷体" w:hAnsi="Times New Roman" w:cs="Times New Roman" w:hint="eastAsia"/>
          <w:color w:val="000000"/>
          <w:shd w:val="clear" w:color="auto" w:fill="FFFFFF"/>
        </w:rPr>
        <w:t>细分龙头仍然是我们的关注重点</w:t>
      </w:r>
      <w:r w:rsidR="00A940A7">
        <w:rPr>
          <w:rFonts w:ascii="Times New Roman" w:eastAsia="楷体" w:hAnsi="Times New Roman" w:cs="Times New Roman" w:hint="eastAsia"/>
          <w:color w:val="000000"/>
          <w:shd w:val="clear" w:color="auto" w:fill="FFFFFF"/>
        </w:rPr>
        <w:t>。</w:t>
      </w:r>
      <w:r w:rsidRPr="005F5029">
        <w:rPr>
          <w:rFonts w:ascii="Times New Roman" w:eastAsia="楷体" w:hAnsi="Times New Roman" w:cs="Times New Roman" w:hint="eastAsia"/>
          <w:color w:val="000000"/>
          <w:shd w:val="clear" w:color="auto" w:fill="FFFFFF"/>
        </w:rPr>
        <w:t>同时</w:t>
      </w:r>
      <w:r w:rsidR="00A277F9">
        <w:rPr>
          <w:rFonts w:ascii="Times New Roman" w:eastAsia="楷体" w:hAnsi="Times New Roman" w:cs="Times New Roman" w:hint="eastAsia"/>
          <w:color w:val="000000"/>
          <w:shd w:val="clear" w:color="auto" w:fill="FFFFFF"/>
        </w:rPr>
        <w:t>积极寻找</w:t>
      </w:r>
      <w:r w:rsidRPr="005F5029">
        <w:rPr>
          <w:rFonts w:ascii="Times New Roman" w:eastAsia="楷体" w:hAnsi="Times New Roman" w:cs="Times New Roman" w:hint="eastAsia"/>
          <w:color w:val="000000"/>
          <w:shd w:val="clear" w:color="auto" w:fill="FFFFFF"/>
        </w:rPr>
        <w:t>机构尚未关注</w:t>
      </w:r>
      <w:r w:rsidR="00A277F9">
        <w:rPr>
          <w:rFonts w:ascii="Times New Roman" w:eastAsia="楷体" w:hAnsi="Times New Roman" w:cs="Times New Roman" w:hint="eastAsia"/>
          <w:color w:val="000000"/>
          <w:shd w:val="clear" w:color="auto" w:fill="FFFFFF"/>
        </w:rPr>
        <w:t>，在当前具备</w:t>
      </w:r>
      <w:r w:rsidR="00A277F9" w:rsidRPr="005F5029">
        <w:rPr>
          <w:rFonts w:ascii="Times New Roman" w:eastAsia="楷体" w:hAnsi="Times New Roman" w:cs="Times New Roman" w:hint="eastAsia"/>
          <w:color w:val="000000"/>
          <w:shd w:val="clear" w:color="auto" w:fill="FFFFFF"/>
        </w:rPr>
        <w:t>业绩向上期的高弹性与低估值状态</w:t>
      </w:r>
      <w:r w:rsidR="00A277F9">
        <w:rPr>
          <w:rFonts w:ascii="Times New Roman" w:eastAsia="楷体" w:hAnsi="Times New Roman" w:cs="Times New Roman" w:hint="eastAsia"/>
          <w:color w:val="000000"/>
          <w:shd w:val="clear" w:color="auto" w:fill="FFFFFF"/>
        </w:rPr>
        <w:t>，存在预期差的</w:t>
      </w:r>
      <w:r w:rsidRPr="005F5029">
        <w:rPr>
          <w:rFonts w:ascii="Times New Roman" w:eastAsia="楷体" w:hAnsi="Times New Roman" w:cs="Times New Roman" w:hint="eastAsia"/>
          <w:color w:val="000000"/>
          <w:shd w:val="clear" w:color="auto" w:fill="FFFFFF"/>
        </w:rPr>
        <w:t>中小标的。我们维持市场震荡向上的判断</w:t>
      </w:r>
      <w:r w:rsidR="00916589">
        <w:rPr>
          <w:rFonts w:ascii="Times New Roman" w:eastAsia="楷体" w:hAnsi="Times New Roman" w:cs="Times New Roman" w:hint="eastAsia"/>
          <w:color w:val="000000"/>
          <w:shd w:val="clear" w:color="auto" w:fill="FFFFFF"/>
        </w:rPr>
        <w:t>，行业上：消费、科技、军工以及低估值的周期龙头是我们的关注重点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813FACB"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5F5029">
        <w:rPr>
          <w:rFonts w:ascii="Times New Roman" w:eastAsia="楷体" w:hAnsi="Times New Roman" w:cs="Times New Roman"/>
          <w:color w:val="000000" w:themeColor="text1"/>
        </w:rPr>
        <w:t>消费</w:t>
      </w:r>
      <w:r w:rsidR="005F5029">
        <w:rPr>
          <w:rFonts w:ascii="Times New Roman" w:eastAsia="楷体" w:hAnsi="Times New Roman" w:cs="Times New Roman" w:hint="eastAsia"/>
          <w:color w:val="000000" w:themeColor="text1"/>
        </w:rPr>
        <w:t>、</w:t>
      </w:r>
      <w:r w:rsidR="00B708C5" w:rsidRPr="00006470">
        <w:rPr>
          <w:rFonts w:ascii="Times New Roman" w:eastAsia="楷体" w:hAnsi="Times New Roman" w:cs="Times New Roman"/>
          <w:color w:val="000000" w:themeColor="text1"/>
        </w:rPr>
        <w:t>科技</w:t>
      </w:r>
      <w:r w:rsidR="005F5029">
        <w:rPr>
          <w:rFonts w:ascii="Times New Roman" w:eastAsia="楷体" w:hAnsi="Times New Roman" w:cs="Times New Roman" w:hint="eastAsia"/>
          <w:color w:val="000000" w:themeColor="text1"/>
        </w:rPr>
        <w:t>、</w:t>
      </w:r>
      <w:r w:rsidR="005F5029">
        <w:rPr>
          <w:rFonts w:ascii="Times New Roman" w:eastAsia="楷体" w:hAnsi="Times New Roman" w:cs="Times New Roman"/>
          <w:color w:val="000000" w:themeColor="text1"/>
        </w:rPr>
        <w:t>军工股板块</w:t>
      </w:r>
      <w:r w:rsidRPr="00006470">
        <w:rPr>
          <w:rFonts w:ascii="Times New Roman" w:eastAsia="楷体" w:hAnsi="Times New Roman" w:cs="Times New Roman"/>
          <w:color w:val="000000" w:themeColor="text1"/>
        </w:rPr>
        <w:t>；</w:t>
      </w:r>
    </w:p>
    <w:p w14:paraId="1F660E1A" w14:textId="696D20F9"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5F5029">
        <w:rPr>
          <w:rFonts w:ascii="Times New Roman" w:eastAsia="楷体" w:hAnsi="Times New Roman" w:cs="Times New Roman"/>
          <w:color w:val="000000" w:themeColor="text1"/>
        </w:rPr>
        <w:t>、低估值周期龙头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4854BCD"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246642">
        <w:rPr>
          <w:rFonts w:ascii="Times New Roman" w:eastAsia="楷体" w:hAnsi="Times New Roman" w:cs="Times New Roman" w:hint="eastAsia"/>
          <w:b/>
        </w:rPr>
        <w:t>美元</w:t>
      </w:r>
      <w:r w:rsidR="002C234A">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46642">
        <w:rPr>
          <w:rFonts w:ascii="Times New Roman" w:eastAsia="楷体" w:hAnsi="Times New Roman" w:cs="Times New Roman" w:hint="eastAsia"/>
          <w:b/>
        </w:rPr>
        <w:t>万得全</w:t>
      </w:r>
      <w:r w:rsidR="00246642">
        <w:rPr>
          <w:rFonts w:ascii="Times New Roman" w:eastAsia="楷体" w:hAnsi="Times New Roman" w:cs="Times New Roman" w:hint="eastAsia"/>
          <w:b/>
        </w:rPr>
        <w:t>A</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246642"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45A27FBE"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26436517" w14:textId="7FDDDAA7"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0.36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5B26E218"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0.64</w:t>
            </w:r>
          </w:p>
        </w:tc>
      </w:tr>
      <w:tr w:rsidR="00246642"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246B1DB"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NYMEX原油</w:t>
            </w:r>
          </w:p>
        </w:tc>
        <w:tc>
          <w:tcPr>
            <w:tcW w:w="1875" w:type="dxa"/>
            <w:noWrap/>
          </w:tcPr>
          <w:p w14:paraId="6CBF5955" w14:textId="40567859"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-0.25</w:t>
            </w:r>
          </w:p>
        </w:tc>
        <w:tc>
          <w:tcPr>
            <w:tcW w:w="2293" w:type="dxa"/>
            <w:noWrap/>
          </w:tcPr>
          <w:p w14:paraId="03D306C5" w14:textId="281227DC"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7.46</w:t>
            </w:r>
          </w:p>
        </w:tc>
      </w:tr>
      <w:tr w:rsidR="00246642"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6FCCB22" w:rsidR="00246642" w:rsidRPr="00D60997" w:rsidRDefault="00246642" w:rsidP="00246642">
            <w:pPr>
              <w:jc w:val="center"/>
              <w:rPr>
                <w:rFonts w:ascii="楷体" w:eastAsia="楷体" w:hAnsi="楷体" w:cs="Times New Roman"/>
                <w:color w:val="000000"/>
              </w:rPr>
            </w:pPr>
            <w:proofErr w:type="gramStart"/>
            <w:r w:rsidRPr="00246642">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0B8AF65" w14:textId="5EBCCC83"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-0.31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72A66F0D"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-0.02</w:t>
            </w:r>
          </w:p>
        </w:tc>
      </w:tr>
      <w:tr w:rsidR="00246642"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523192C"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COMEX黄金</w:t>
            </w:r>
          </w:p>
        </w:tc>
        <w:tc>
          <w:tcPr>
            <w:tcW w:w="1875" w:type="dxa"/>
            <w:noWrap/>
          </w:tcPr>
          <w:p w14:paraId="6E1624BD" w14:textId="2A851B2A"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-0.53</w:t>
            </w:r>
          </w:p>
        </w:tc>
        <w:tc>
          <w:tcPr>
            <w:tcW w:w="2293" w:type="dxa"/>
            <w:noWrap/>
          </w:tcPr>
          <w:p w14:paraId="628C5028" w14:textId="07116B0E"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-2.49</w:t>
            </w:r>
          </w:p>
        </w:tc>
      </w:tr>
      <w:tr w:rsidR="00246642"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4A3B861"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01BF87B" w14:textId="5A52C269"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-0.53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05A6123A"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-2.58</w:t>
            </w:r>
          </w:p>
        </w:tc>
      </w:tr>
      <w:tr w:rsidR="00246642"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611FAC4"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LME铝</w:t>
            </w:r>
          </w:p>
        </w:tc>
        <w:tc>
          <w:tcPr>
            <w:tcW w:w="1875" w:type="dxa"/>
            <w:noWrap/>
          </w:tcPr>
          <w:p w14:paraId="3F2524D6" w14:textId="423C00AF"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-0.88</w:t>
            </w:r>
          </w:p>
        </w:tc>
        <w:tc>
          <w:tcPr>
            <w:tcW w:w="2293" w:type="dxa"/>
            <w:noWrap/>
          </w:tcPr>
          <w:p w14:paraId="0F02F0AC" w14:textId="66A1A670"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-0.13</w:t>
            </w:r>
          </w:p>
        </w:tc>
      </w:tr>
      <w:tr w:rsidR="00246642"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3C66977"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0C654950" w14:textId="584C5873"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-2.30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21B0E0E1"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0.61</w:t>
            </w:r>
          </w:p>
        </w:tc>
      </w:tr>
      <w:tr w:rsidR="00246642"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56C9452"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道琼斯工业指数</w:t>
            </w:r>
          </w:p>
        </w:tc>
        <w:tc>
          <w:tcPr>
            <w:tcW w:w="1875" w:type="dxa"/>
            <w:noWrap/>
          </w:tcPr>
          <w:p w14:paraId="5DA062AB" w14:textId="45420591"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-3.27</w:t>
            </w:r>
          </w:p>
        </w:tc>
        <w:tc>
          <w:tcPr>
            <w:tcW w:w="2293" w:type="dxa"/>
            <w:noWrap/>
          </w:tcPr>
          <w:p w14:paraId="6CF61D40" w14:textId="4A797BF5"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-2.04</w:t>
            </w:r>
          </w:p>
        </w:tc>
      </w:tr>
      <w:tr w:rsidR="00246642"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2070C6F"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B52684A" w14:textId="0769F46B"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-3.38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2235BD34"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0.80</w:t>
            </w:r>
          </w:p>
        </w:tc>
      </w:tr>
      <w:tr w:rsidR="00246642"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059A168"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纳斯达克指数</w:t>
            </w:r>
          </w:p>
        </w:tc>
        <w:tc>
          <w:tcPr>
            <w:tcW w:w="1875" w:type="dxa"/>
            <w:noWrap/>
          </w:tcPr>
          <w:p w14:paraId="07AD02DE" w14:textId="111D9FAF"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-3.49</w:t>
            </w:r>
          </w:p>
        </w:tc>
        <w:tc>
          <w:tcPr>
            <w:tcW w:w="2293" w:type="dxa"/>
            <w:noWrap/>
          </w:tcPr>
          <w:p w14:paraId="1353B161" w14:textId="22D96CDB"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1.42</w:t>
            </w:r>
          </w:p>
        </w:tc>
      </w:tr>
      <w:tr w:rsidR="00246642"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EBDD7A1"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495D9432" w14:textId="368CFEC9"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-3.95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4BDE3B1F"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3.87</w:t>
            </w:r>
          </w:p>
        </w:tc>
      </w:tr>
      <w:tr w:rsidR="00246642"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4868F461"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英国富时100</w:t>
            </w:r>
          </w:p>
        </w:tc>
        <w:tc>
          <w:tcPr>
            <w:tcW w:w="1875" w:type="dxa"/>
            <w:noWrap/>
          </w:tcPr>
          <w:p w14:paraId="0528E8CE" w14:textId="6709BE65"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-4.30</w:t>
            </w:r>
          </w:p>
        </w:tc>
        <w:tc>
          <w:tcPr>
            <w:tcW w:w="2293" w:type="dxa"/>
            <w:noWrap/>
          </w:tcPr>
          <w:p w14:paraId="0D77D093" w14:textId="4E4DC985"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-0.82</w:t>
            </w:r>
          </w:p>
        </w:tc>
      </w:tr>
      <w:tr w:rsidR="00246642"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5CDEB02" w:rsidR="00246642" w:rsidRPr="00D60997" w:rsidRDefault="00246642" w:rsidP="00246642">
            <w:pPr>
              <w:jc w:val="center"/>
              <w:rPr>
                <w:rFonts w:ascii="楷体" w:eastAsia="楷体" w:hAnsi="楷体" w:cs="Times New Roman"/>
                <w:color w:val="000000"/>
              </w:rPr>
            </w:pPr>
            <w:r w:rsidRPr="00246642">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F4244CE" w14:textId="3E4C4B51" w:rsidR="00246642" w:rsidRPr="00D60997"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46642">
              <w:rPr>
                <w:rFonts w:ascii="楷体" w:eastAsia="楷体" w:hAnsi="楷体" w:cs="Times New Roman" w:hint="eastAsia"/>
                <w:color w:val="000000"/>
              </w:rPr>
              <w:t>-4.53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CBE8426" w:rsidR="00246642" w:rsidRPr="00075E3A" w:rsidRDefault="00246642" w:rsidP="0024664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-0.10</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22EAAF0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w:t>
      </w:r>
      <w:r w:rsidR="00530B20">
        <w:rPr>
          <w:rFonts w:ascii="Times New Roman" w:eastAsia="楷体" w:hAnsi="Times New Roman" w:cs="Times New Roman" w:hint="eastAsia"/>
          <w:b/>
        </w:rPr>
        <w:t>上周均有不同程度回调</w:t>
      </w:r>
      <w:bookmarkStart w:id="4" w:name="_GoBack"/>
      <w:bookmarkEnd w:id="4"/>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6BC53935" w:rsidR="007E1695" w:rsidRPr="00006470" w:rsidRDefault="00246642">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E9CCD21" wp14:editId="6FB41CE4">
            <wp:extent cx="5078095" cy="2938780"/>
            <wp:effectExtent l="0" t="0" r="825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5938CFB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46642">
        <w:rPr>
          <w:rFonts w:ascii="Times New Roman" w:eastAsia="楷体" w:hAnsi="Times New Roman" w:cs="Times New Roman" w:hint="eastAsia"/>
          <w:b/>
        </w:rPr>
        <w:t>小幅下跌</w:t>
      </w:r>
    </w:p>
    <w:p w14:paraId="3AD41BC7" w14:textId="2FD271BE" w:rsidR="007E1695" w:rsidRPr="00006470" w:rsidRDefault="00246642">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28E7B69" wp14:editId="29A4BC24">
            <wp:extent cx="5590540" cy="2938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0A9D2F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w:t>
      </w:r>
      <w:r w:rsidR="00246642">
        <w:rPr>
          <w:rFonts w:ascii="Times New Roman" w:eastAsia="楷体" w:hAnsi="Times New Roman" w:cs="Times New Roman" w:hint="eastAsia"/>
          <w:b/>
        </w:rPr>
        <w:t>出</w:t>
      </w:r>
      <w:r w:rsidR="00246642">
        <w:rPr>
          <w:rFonts w:ascii="Times New Roman" w:eastAsia="楷体" w:hAnsi="Times New Roman" w:cs="Times New Roman" w:hint="eastAsia"/>
          <w:b/>
        </w:rPr>
        <w:t>67.37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03CE21C" w:rsidR="007E1695" w:rsidRPr="00006470" w:rsidRDefault="00246642">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EB57860" wp14:editId="6D6A4097">
            <wp:extent cx="5231130" cy="3200400"/>
            <wp:effectExtent l="0" t="0" r="762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50B75F0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16824.23</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34089A">
        <w:rPr>
          <w:rFonts w:ascii="Times New Roman" w:eastAsia="楷体" w:hAnsi="Times New Roman" w:cs="Times New Roman" w:hint="eastAsia"/>
          <w:b/>
        </w:rPr>
        <w:t>小幅减少</w:t>
      </w:r>
    </w:p>
    <w:p w14:paraId="3ABC9C3D" w14:textId="4FF7FFEE" w:rsidR="007E1695" w:rsidRPr="00006470" w:rsidRDefault="0034089A"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6FF0E60A" wp14:editId="19904D73">
            <wp:extent cx="5895340" cy="29324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32E45F1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246642">
        <w:rPr>
          <w:rFonts w:ascii="Times New Roman" w:eastAsia="楷体" w:hAnsi="Times New Roman" w:cs="Times New Roman" w:hint="eastAsia"/>
          <w:b/>
        </w:rPr>
        <w:t>1516.64</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4A5764">
        <w:rPr>
          <w:rFonts w:ascii="Times New Roman" w:eastAsia="楷体" w:hAnsi="Times New Roman" w:cs="Times New Roman" w:hint="eastAsia"/>
          <w:b/>
        </w:rPr>
        <w:t>大幅</w:t>
      </w:r>
      <w:r w:rsidR="00246642">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10AD6584" w:rsidR="007E1695" w:rsidRPr="00006470" w:rsidRDefault="00246642"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2A81E6C" wp14:editId="29FAAC36">
            <wp:extent cx="5621020" cy="28651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60DAF00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46642">
        <w:rPr>
          <w:rFonts w:ascii="Times New Roman" w:eastAsia="楷体" w:hAnsi="Times New Roman" w:cs="Times New Roman" w:hint="eastAsia"/>
          <w:b/>
        </w:rPr>
        <w:t>1</w:t>
      </w:r>
      <w:r w:rsidRPr="00006470">
        <w:rPr>
          <w:rFonts w:ascii="Times New Roman" w:eastAsia="楷体" w:hAnsi="Times New Roman" w:cs="Times New Roman"/>
          <w:b/>
        </w:rPr>
        <w:t>月最新募资合计</w:t>
      </w:r>
      <w:r w:rsidR="00246642">
        <w:rPr>
          <w:rFonts w:ascii="Times New Roman" w:eastAsia="楷体" w:hAnsi="Times New Roman" w:cs="Times New Roman" w:hint="eastAsia"/>
          <w:b/>
        </w:rPr>
        <w:t>1596.54</w:t>
      </w:r>
      <w:r w:rsidRPr="00006470">
        <w:rPr>
          <w:rFonts w:ascii="Times New Roman" w:eastAsia="楷体" w:hAnsi="Times New Roman" w:cs="Times New Roman"/>
          <w:b/>
        </w:rPr>
        <w:t>亿元</w:t>
      </w:r>
    </w:p>
    <w:p w14:paraId="09F800D5" w14:textId="55C0E027" w:rsidR="007E1695" w:rsidRPr="00006470" w:rsidRDefault="00246642">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7F37F43" wp14:editId="0CE8B052">
            <wp:extent cx="4547870" cy="2847340"/>
            <wp:effectExtent l="0" t="0" r="508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1B9262CB"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34089A" w:rsidRPr="0034089A">
        <w:rPr>
          <w:rFonts w:ascii="Times New Roman" w:eastAsia="楷体" w:hAnsi="Times New Roman" w:cs="Times New Roman"/>
          <w:b/>
        </w:rPr>
        <w:t>894.27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34089A">
        <w:rPr>
          <w:rFonts w:ascii="Times New Roman" w:eastAsia="楷体" w:hAnsi="Times New Roman" w:cs="Times New Roman" w:hint="eastAsia"/>
          <w:b/>
        </w:rPr>
        <w:t>大</w:t>
      </w:r>
      <w:r w:rsidR="00490477">
        <w:rPr>
          <w:rFonts w:ascii="Times New Roman" w:eastAsia="楷体" w:hAnsi="Times New Roman" w:cs="Times New Roman" w:hint="eastAsia"/>
          <w:b/>
        </w:rPr>
        <w:t>幅减少</w:t>
      </w:r>
    </w:p>
    <w:p w14:paraId="110691E2" w14:textId="7620F5F4" w:rsidR="00051381" w:rsidRPr="00006470" w:rsidRDefault="0034089A"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5899154" wp14:editId="12FFB073">
            <wp:extent cx="5993130" cy="3347085"/>
            <wp:effectExtent l="0" t="0" r="762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37F033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4B15FF">
        <w:rPr>
          <w:rFonts w:ascii="Times New Roman" w:eastAsia="楷体" w:hAnsi="Times New Roman" w:cs="Times New Roman" w:hint="eastAsia"/>
          <w:b/>
        </w:rPr>
        <w:t>增加</w:t>
      </w:r>
      <w:r w:rsidR="00E5327C">
        <w:rPr>
          <w:rFonts w:ascii="Times New Roman" w:eastAsia="楷体" w:hAnsi="Times New Roman" w:cs="Times New Roman" w:hint="eastAsia"/>
          <w:b/>
        </w:rPr>
        <w:t>0.</w:t>
      </w:r>
      <w:r w:rsidR="004B15FF">
        <w:rPr>
          <w:rFonts w:ascii="Times New Roman" w:eastAsia="楷体" w:hAnsi="Times New Roman" w:cs="Times New Roman" w:hint="eastAsia"/>
          <w:b/>
        </w:rPr>
        <w:t>2</w:t>
      </w:r>
      <w:r w:rsidR="00E5327C">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proofErr w:type="gramStart"/>
      <w:r w:rsidR="004B15FF">
        <w:rPr>
          <w:rFonts w:ascii="Times New Roman" w:eastAsia="楷体" w:hAnsi="Times New Roman" w:cs="Times New Roman" w:hint="eastAsia"/>
          <w:b/>
        </w:rPr>
        <w:t>扭负为</w:t>
      </w:r>
      <w:proofErr w:type="gramEnd"/>
      <w:r w:rsidR="004B15FF">
        <w:rPr>
          <w:rFonts w:ascii="Times New Roman" w:eastAsia="楷体" w:hAnsi="Times New Roman" w:cs="Times New Roman" w:hint="eastAsia"/>
          <w:b/>
        </w:rPr>
        <w:t>正</w:t>
      </w:r>
    </w:p>
    <w:p w14:paraId="7BC7A832" w14:textId="324C56AD"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7CC1510" wp14:editId="10D7650D">
            <wp:extent cx="5200650" cy="273113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4DB08DF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4B15FF">
        <w:rPr>
          <w:rFonts w:ascii="Times New Roman" w:eastAsia="楷体" w:hAnsi="Times New Roman" w:cs="Times New Roman" w:hint="eastAsia"/>
          <w:b/>
        </w:rPr>
        <w:t>0.40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F8D00A1"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FE991D3" wp14:editId="7904285A">
            <wp:extent cx="5200650" cy="272542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7912C65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51.90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1370868E"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8F966C7" wp14:editId="6B0755B9">
            <wp:extent cx="5200650" cy="273113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83802F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月社会融资规模</w:t>
      </w:r>
      <w:r w:rsidR="004B15FF">
        <w:rPr>
          <w:rFonts w:ascii="Times New Roman" w:eastAsia="楷体" w:hAnsi="Times New Roman" w:cs="Times New Roman" w:hint="eastAsia"/>
          <w:b/>
        </w:rPr>
        <w:t>1.72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4B15FF">
        <w:rPr>
          <w:rFonts w:ascii="Times New Roman" w:eastAsia="楷体" w:hAnsi="Times New Roman" w:cs="Times New Roman" w:hint="eastAsia"/>
          <w:b/>
        </w:rPr>
        <w:t>减少</w:t>
      </w:r>
    </w:p>
    <w:p w14:paraId="6F8BF5F3" w14:textId="282343BD" w:rsidR="007E1695" w:rsidRPr="00006470" w:rsidRDefault="004B15FF">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A5FB2DC" wp14:editId="554A8D80">
            <wp:extent cx="5200650" cy="27254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0AD3935" w:rsidR="007E1695" w:rsidRPr="00006470" w:rsidRDefault="004B15FF">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F943DDF" wp14:editId="6890A8EB">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2676DCFC"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9</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56062D75" w:rsidR="00971387" w:rsidRPr="00006470" w:rsidRDefault="004B15FF"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D0BC30A" wp14:editId="3F6D0FDB">
            <wp:extent cx="5248910" cy="2944495"/>
            <wp:effectExtent l="0" t="0" r="889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877DDF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B15FF">
        <w:rPr>
          <w:rFonts w:ascii="Times New Roman" w:eastAsia="楷体" w:hAnsi="Times New Roman" w:cs="Times New Roman" w:hint="eastAsia"/>
          <w:b/>
        </w:rPr>
        <w:t>4.6</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09889FD9" w:rsidR="00AD4FF0" w:rsidRPr="00006470" w:rsidRDefault="004B15FF"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7A2749" wp14:editId="3C043C43">
            <wp:extent cx="5248910" cy="2932430"/>
            <wp:effectExtent l="0" t="0" r="889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0801A121" w:rsidR="007E1695" w:rsidRPr="00006470" w:rsidRDefault="006A7AEF" w:rsidP="006A7AEF">
      <w:pPr>
        <w:pStyle w:val="af"/>
        <w:ind w:firstLine="442"/>
        <w:rPr>
          <w:rFonts w:ascii="Times New Roman" w:hAnsi="Times New Roman" w:cs="Times New Roman"/>
          <w:sz w:val="22"/>
        </w:rPr>
      </w:pPr>
      <w:r w:rsidRPr="006A7AEF">
        <w:rPr>
          <w:rFonts w:ascii="Times New Roman" w:hAnsi="Times New Roman" w:cs="Times New Roman" w:hint="eastAsia"/>
          <w:b/>
          <w:sz w:val="22"/>
        </w:rPr>
        <w:t>风险提示：</w:t>
      </w:r>
      <w:r w:rsidRPr="006A7AEF">
        <w:rPr>
          <w:rFonts w:ascii="Times New Roman" w:hAnsi="Times New Roman" w:cs="Times New Roman" w:hint="eastAsia"/>
          <w:b/>
          <w:sz w:val="22"/>
        </w:rPr>
        <w:t>1</w:t>
      </w:r>
      <w:r w:rsidRPr="006A7AEF">
        <w:rPr>
          <w:rFonts w:ascii="Times New Roman" w:hAnsi="Times New Roman" w:cs="Times New Roman" w:hint="eastAsia"/>
          <w:b/>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A7AEF">
        <w:rPr>
          <w:rFonts w:ascii="Times New Roman" w:hAnsi="Times New Roman" w:cs="Times New Roman" w:hint="eastAsia"/>
          <w:b/>
          <w:sz w:val="22"/>
        </w:rPr>
        <w:t>作出</w:t>
      </w:r>
      <w:proofErr w:type="gramEnd"/>
      <w:r w:rsidRPr="006A7AEF">
        <w:rPr>
          <w:rFonts w:ascii="Times New Roman" w:hAnsi="Times New Roman" w:cs="Times New Roman" w:hint="eastAsia"/>
          <w:b/>
          <w:sz w:val="22"/>
        </w:rPr>
        <w:t>调整。</w:t>
      </w:r>
      <w:r w:rsidRPr="006A7AEF">
        <w:rPr>
          <w:rFonts w:ascii="Times New Roman" w:hAnsi="Times New Roman" w:cs="Times New Roman" w:hint="eastAsia"/>
          <w:b/>
          <w:sz w:val="22"/>
        </w:rPr>
        <w:t>2</w:t>
      </w:r>
      <w:r w:rsidRPr="006A7AEF">
        <w:rPr>
          <w:rFonts w:ascii="Times New Roman" w:hAnsi="Times New Roman" w:cs="Times New Roman" w:hint="eastAsia"/>
          <w:b/>
          <w:sz w:val="22"/>
        </w:rPr>
        <w:t>、本报告中的资料、观点和预测等仅供参考，在任何时候均不构成对任何人的个人推荐。市场有风险，投资需谨慎。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D7E9F1" w14:textId="77777777" w:rsidR="00FA37CE" w:rsidRDefault="00FA37CE">
      <w:pPr>
        <w:spacing w:line="240" w:lineRule="auto"/>
      </w:pPr>
      <w:r>
        <w:separator/>
      </w:r>
    </w:p>
  </w:endnote>
  <w:endnote w:type="continuationSeparator" w:id="0">
    <w:p w14:paraId="7A4C5CDC" w14:textId="77777777" w:rsidR="00FA37CE" w:rsidRDefault="00FA37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30B20">
              <w:rPr>
                <w:b/>
                <w:bCs/>
                <w:noProof/>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30B20">
              <w:rPr>
                <w:b/>
                <w:bCs/>
                <w:noProof/>
              </w:rPr>
              <w:t>13</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612E39" w14:textId="77777777" w:rsidR="00FA37CE" w:rsidRDefault="00FA37CE">
      <w:pPr>
        <w:spacing w:line="240" w:lineRule="auto"/>
      </w:pPr>
      <w:r>
        <w:separator/>
      </w:r>
    </w:p>
  </w:footnote>
  <w:footnote w:type="continuationSeparator" w:id="0">
    <w:p w14:paraId="74569FD7" w14:textId="77777777" w:rsidR="00FA37CE" w:rsidRDefault="00FA37C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3E80"/>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669"/>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0477"/>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0B20"/>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4FA"/>
    <w:rsid w:val="005F4536"/>
    <w:rsid w:val="005F4634"/>
    <w:rsid w:val="005F4A88"/>
    <w:rsid w:val="005F5029"/>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AEF"/>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1F89"/>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58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AE6"/>
    <w:rsid w:val="009A2BFE"/>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06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661"/>
    <w:rsid w:val="00A277F9"/>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0A7"/>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105"/>
    <w:rsid w:val="00AE63AD"/>
    <w:rsid w:val="00AE6E05"/>
    <w:rsid w:val="00AE7451"/>
    <w:rsid w:val="00AE7646"/>
    <w:rsid w:val="00AE76DC"/>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7CE"/>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6FCB69-B13D-49E3-B92D-688C17D0E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13</Pages>
  <Words>633</Words>
  <Characters>3609</Characters>
  <Application>Microsoft Office Word</Application>
  <DocSecurity>0</DocSecurity>
  <Lines>30</Lines>
  <Paragraphs>8</Paragraphs>
  <ScaleCrop>false</ScaleCrop>
  <Company>china</Company>
  <LinksUpToDate>false</LinksUpToDate>
  <CharactersWithSpaces>4234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2021-02-01T05:04:00Z</cp:lastPrinted>
  <dcterms:created xsi:type="dcterms:W3CDTF">2021-02-01T05:03:00Z</dcterms:created>
  <dcterms:modified xsi:type="dcterms:W3CDTF">2021-02-01T07:39:00Z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